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2020-09-30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同享盈增利之代销专属理财极速版(84天)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2301174903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2017-12-25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2099-12-30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27,500,000.00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0.15%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活期存款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26.33%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应收账款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73.67%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