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鑫盈利系列1年定开10号理财产品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2301202510(销售代码:2301202843/2301202844/2301202845/2301202846)</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696,441,000.00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2301202843 : 3.80%-4.10%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2301202844 : 3.83%-4.13%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2301202845 : 3.65%-3.95%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2301202846 : 3.55%-3.85%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w:t>
            </w:r>
            <w:bookmarkStart w:id="0" w:name="_GoBack"/>
            <w:bookmarkEnd w:id="0"/>
            <w:r>
              <w:rPr>
                <w:rFonts w:hint="eastAsia" w:ascii="仿宋_GB2312" w:eastAsia="仿宋_GB2312"/>
                <w:color w:val="000000"/>
                <w:kern w:val="0"/>
                <w:sz w:val="24"/>
                <w:szCs w:val="24"/>
              </w:rPr>
              <w:t>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2301202843 : 395,596,085.90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241,922,550.75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679,094.14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76,883,558.09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2301202843 : 1.0269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1.0271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1.0258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1.0251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2301202843 : 1.0269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2301202844 : 1.0271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2301202845 : 1.0258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2301202846 : 1.0251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9,740,923.02</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782,630,661.11</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14,945,087.54</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807,316,671.67</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112.90%</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82"/>
        <w:rPr>
          <w:rFonts w:ascii="仿宋_GB2312" w:hAnsi="Calibri" w:eastAsia="仿宋_GB2312"/>
          <w:sz w:val="24"/>
          <w:szCs w:val="24"/>
        </w:rPr>
      </w:pPr>
      <w:r>
        <w:rPr>
          <w:rFonts w:hint="eastAsia" w:ascii="仿宋_GB2312" w:eastAsia="仿宋_GB2312" w:hAnsiTheme="minorEastAsia"/>
          <w:bCs/>
          <w:sz w:val="24"/>
          <w:szCs w:val="24"/>
        </w:rPr>
        <w:t>投资策略以配置中短</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的高等级信用债为主,适当杠杆增厚收益，相机配置长</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利率债挖掘超额收益。</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20中电投MTN024</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69,985,686.13</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19华能MTN004A</w:t>
            </w:r>
          </w:p>
        </w:tc>
        <w:tc>
          <w:tcPr>
            <w:tcW w:w="2835" w:type="dxa"/>
          </w:tcPr>
          <w:p>
            <w:pPr>
              <w:jc w:val="center"/>
              <w:textAlignment w:val="auto"/>
            </w:pPr>
            <w:r>
              <w:rPr>
                <w:rFonts w:ascii="Times New Roman" w:hAnsi="Times New Roman" w:eastAsia="Times New Roman" w:cs="Times New Roman"/>
                <w:b w:val="0"/>
                <w:i w:val="0"/>
                <w:color w:val="000000"/>
                <w:sz w:val="24"/>
                <w:u w:val="none"/>
              </w:rPr>
              <w:t>60,160,342.70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19葛洲坝MTN001</w:t>
            </w:r>
          </w:p>
        </w:tc>
        <w:tc>
          <w:tcPr>
            <w:tcW w:w="2835" w:type="dxa"/>
          </w:tcPr>
          <w:p>
            <w:pPr>
              <w:jc w:val="center"/>
              <w:textAlignment w:val="auto"/>
            </w:pPr>
            <w:r>
              <w:rPr>
                <w:rFonts w:ascii="Times New Roman" w:hAnsi="Times New Roman" w:eastAsia="Times New Roman" w:cs="Times New Roman"/>
                <w:b w:val="0"/>
                <w:i w:val="0"/>
                <w:color w:val="000000"/>
                <w:sz w:val="24"/>
                <w:u w:val="none"/>
              </w:rPr>
              <w:t>60,050,308.72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20沪世茂PPN002</w:t>
            </w:r>
          </w:p>
        </w:tc>
        <w:tc>
          <w:tcPr>
            <w:tcW w:w="2835" w:type="dxa"/>
          </w:tcPr>
          <w:p>
            <w:pPr>
              <w:jc w:val="center"/>
              <w:textAlignment w:val="auto"/>
            </w:pPr>
            <w:r>
              <w:rPr>
                <w:rFonts w:ascii="Times New Roman" w:hAnsi="Times New Roman" w:eastAsia="Times New Roman" w:cs="Times New Roman"/>
                <w:b w:val="0"/>
                <w:i w:val="0"/>
                <w:color w:val="000000"/>
                <w:sz w:val="24"/>
                <w:u w:val="none"/>
              </w:rPr>
              <w:t>59,527,786.01</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20兵团建工PPN001</w:t>
            </w:r>
          </w:p>
        </w:tc>
        <w:tc>
          <w:tcPr>
            <w:tcW w:w="2835" w:type="dxa"/>
          </w:tcPr>
          <w:p>
            <w:pPr>
              <w:jc w:val="center"/>
              <w:textAlignment w:val="auto"/>
            </w:pPr>
            <w:r>
              <w:rPr>
                <w:rFonts w:ascii="Times New Roman" w:hAnsi="Times New Roman" w:eastAsia="Times New Roman" w:cs="Times New Roman"/>
                <w:b w:val="0"/>
                <w:i w:val="0"/>
                <w:color w:val="000000"/>
                <w:sz w:val="24"/>
                <w:u w:val="none"/>
              </w:rPr>
              <w:t>59,197,526.60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20江北建设PPN001</w:t>
            </w:r>
          </w:p>
        </w:tc>
        <w:tc>
          <w:tcPr>
            <w:tcW w:w="2835" w:type="dxa"/>
          </w:tcPr>
          <w:p>
            <w:pPr>
              <w:jc w:val="center"/>
              <w:textAlignment w:val="auto"/>
            </w:pPr>
            <w:r>
              <w:rPr>
                <w:rFonts w:ascii="Times New Roman" w:hAnsi="Times New Roman" w:eastAsia="Times New Roman" w:cs="Times New Roman"/>
                <w:b w:val="0"/>
                <w:i w:val="0"/>
                <w:color w:val="000000"/>
                <w:sz w:val="24"/>
                <w:u w:val="none"/>
              </w:rPr>
              <w:t>50,110,000.00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19陕煤债01</w:t>
            </w:r>
          </w:p>
        </w:tc>
        <w:tc>
          <w:tcPr>
            <w:tcW w:w="2835" w:type="dxa"/>
          </w:tcPr>
          <w:p>
            <w:pPr>
              <w:jc w:val="center"/>
              <w:textAlignment w:val="auto"/>
            </w:pPr>
            <w:r>
              <w:rPr>
                <w:rFonts w:ascii="Times New Roman" w:hAnsi="Times New Roman" w:eastAsia="Times New Roman" w:cs="Times New Roman"/>
                <w:b w:val="0"/>
                <w:i w:val="0"/>
                <w:color w:val="000000"/>
                <w:sz w:val="24"/>
                <w:u w:val="none"/>
              </w:rPr>
              <w:t>50,040,000.00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20延安城投PPN001</w:t>
            </w:r>
          </w:p>
        </w:tc>
        <w:tc>
          <w:tcPr>
            <w:tcW w:w="2835" w:type="dxa"/>
          </w:tcPr>
          <w:p>
            <w:pPr>
              <w:jc w:val="center"/>
              <w:textAlignment w:val="auto"/>
            </w:pPr>
            <w:r>
              <w:rPr>
                <w:rFonts w:ascii="Times New Roman" w:hAnsi="Times New Roman" w:eastAsia="Times New Roman" w:cs="Times New Roman"/>
                <w:b w:val="0"/>
                <w:i w:val="0"/>
                <w:color w:val="000000"/>
                <w:sz w:val="24"/>
                <w:u w:val="none"/>
              </w:rPr>
              <w:t>48,395,602.18</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19华电股MTN004A</w:t>
            </w:r>
          </w:p>
        </w:tc>
        <w:tc>
          <w:tcPr>
            <w:tcW w:w="2835" w:type="dxa"/>
          </w:tcPr>
          <w:p>
            <w:pPr>
              <w:jc w:val="center"/>
              <w:textAlignment w:val="auto"/>
            </w:pPr>
            <w:r>
              <w:rPr>
                <w:rFonts w:ascii="Times New Roman" w:hAnsi="Times New Roman" w:eastAsia="Times New Roman" w:cs="Times New Roman"/>
                <w:b w:val="0"/>
                <w:i w:val="0"/>
                <w:color w:val="000000"/>
                <w:sz w:val="24"/>
                <w:u w:val="none"/>
              </w:rPr>
              <w:t>40,320,000.00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19华能MTN003</w:t>
            </w:r>
          </w:p>
        </w:tc>
        <w:tc>
          <w:tcPr>
            <w:tcW w:w="2835" w:type="dxa"/>
          </w:tcPr>
          <w:p>
            <w:pPr>
              <w:jc w:val="center"/>
              <w:textAlignment w:val="auto"/>
            </w:pPr>
            <w:r>
              <w:rPr>
                <w:rFonts w:ascii="Times New Roman" w:hAnsi="Times New Roman" w:eastAsia="Times New Roman" w:cs="Times New Roman"/>
                <w:b w:val="0"/>
                <w:i w:val="0"/>
                <w:color w:val="000000"/>
                <w:sz w:val="24"/>
                <w:u w:val="none"/>
              </w:rPr>
              <w:t>40,032,922.15</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5.60%</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02802A58"/>
    <w:rsid w:val="08AC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1</TotalTime>
  <ScaleCrop>false</ScaleCrop>
  <LinksUpToDate>false</LinksUpToDate>
  <CharactersWithSpaces>2670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2021-07-15T01:03:07Z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