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浦发银行鑫盈利系列1年定开7号理财产品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2301202507(销售代码:2301202820/2301202821/2301202822/2301202823/2301212313)</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346,565,436.86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2301202820 : 3.</w:t>
            </w:r>
            <w:r>
              <w:rPr>
                <w:rFonts w:hint="eastAsia" w:ascii="仿宋_GB2312" w:hAnsi="Calibri" w:eastAsia="仿宋_GB2312" w:cs="宋体"/>
                <w:color w:val="000000"/>
                <w:sz w:val="24"/>
                <w:szCs w:val="24"/>
              </w:rPr>
              <w:t>60</w:t>
            </w:r>
            <w:r>
              <w:rPr>
                <w:rFonts w:ascii="仿宋_GB2312" w:hAnsi="Calibri" w:eastAsia="仿宋_GB2312" w:cs="宋体"/>
                <w:color w:val="000000"/>
                <w:sz w:val="24"/>
                <w:szCs w:val="24"/>
              </w:rPr>
              <w:t>%-4.</w:t>
            </w:r>
            <w:r>
              <w:rPr>
                <w:rFonts w:hint="eastAsia" w:ascii="仿宋_GB2312" w:hAnsi="Calibri" w:eastAsia="仿宋_GB2312" w:cs="宋体"/>
                <w:color w:val="000000"/>
                <w:sz w:val="24"/>
                <w:szCs w:val="24"/>
              </w:rPr>
              <w:t>10</w:t>
            </w:r>
            <w:r>
              <w:rPr>
                <w:rFonts w:ascii="仿宋_GB2312" w:hAnsi="Calibri" w:eastAsia="仿宋_GB2312" w:cs="宋体"/>
                <w:color w:val="000000"/>
                <w:sz w:val="24"/>
                <w:szCs w:val="24"/>
              </w:rPr>
              <w:t>%</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2301202821 : 3.</w:t>
            </w:r>
            <w:r>
              <w:rPr>
                <w:rFonts w:hint="eastAsia" w:ascii="仿宋_GB2312" w:hAnsi="Calibri" w:eastAsia="仿宋_GB2312" w:cs="宋体"/>
                <w:color w:val="000000"/>
                <w:sz w:val="24"/>
                <w:szCs w:val="24"/>
              </w:rPr>
              <w:t>63</w:t>
            </w:r>
            <w:r>
              <w:rPr>
                <w:rFonts w:ascii="仿宋_GB2312" w:hAnsi="Calibri" w:eastAsia="仿宋_GB2312" w:cs="宋体"/>
                <w:color w:val="000000"/>
                <w:sz w:val="24"/>
                <w:szCs w:val="24"/>
              </w:rPr>
              <w:t>%-4.</w:t>
            </w:r>
            <w:r>
              <w:rPr>
                <w:rFonts w:hint="eastAsia" w:ascii="仿宋_GB2312" w:hAnsi="Calibri" w:eastAsia="仿宋_GB2312" w:cs="宋体"/>
                <w:color w:val="000000"/>
                <w:sz w:val="24"/>
                <w:szCs w:val="24"/>
              </w:rPr>
              <w:t>13</w:t>
            </w:r>
            <w:r>
              <w:rPr>
                <w:rFonts w:ascii="仿宋_GB2312" w:hAnsi="Calibri" w:eastAsia="仿宋_GB2312" w:cs="宋体"/>
                <w:color w:val="000000"/>
                <w:sz w:val="24"/>
                <w:szCs w:val="24"/>
              </w:rPr>
              <w:t>%</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2301202822 : 3.</w:t>
            </w:r>
            <w:r>
              <w:rPr>
                <w:rFonts w:hint="eastAsia" w:ascii="仿宋_GB2312" w:hAnsi="Calibri" w:eastAsia="仿宋_GB2312" w:cs="宋体"/>
                <w:color w:val="000000"/>
                <w:sz w:val="24"/>
                <w:szCs w:val="24"/>
              </w:rPr>
              <w:t>65</w:t>
            </w:r>
            <w:r>
              <w:rPr>
                <w:rFonts w:ascii="仿宋_GB2312" w:hAnsi="Calibri" w:eastAsia="仿宋_GB2312" w:cs="宋体"/>
                <w:color w:val="000000"/>
                <w:sz w:val="24"/>
                <w:szCs w:val="24"/>
              </w:rPr>
              <w:t>%-4.</w:t>
            </w:r>
            <w:r>
              <w:rPr>
                <w:rFonts w:hint="eastAsia" w:ascii="仿宋_GB2312" w:hAnsi="Calibri" w:eastAsia="仿宋_GB2312" w:cs="宋体"/>
                <w:color w:val="000000"/>
                <w:sz w:val="24"/>
                <w:szCs w:val="24"/>
              </w:rPr>
              <w:t>15</w:t>
            </w:r>
            <w:r>
              <w:rPr>
                <w:rFonts w:ascii="仿宋_GB2312" w:hAnsi="Calibri" w:eastAsia="仿宋_GB2312" w:cs="宋体"/>
                <w:color w:val="000000"/>
                <w:sz w:val="24"/>
                <w:szCs w:val="24"/>
              </w:rPr>
              <w:t>%</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2301212313 : 3.65%-4.15%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-01至</w:t>
            </w:r>
            <w:bookmarkStart w:id="0" w:name="_GoBack"/>
            <w:bookmarkEnd w:id="0"/>
            <w:r>
              <w:rPr>
                <w:rFonts w:hint="eastAsia" w:ascii="仿宋_GB2312" w:eastAsia="仿宋_GB2312"/>
                <w:color w:val="000000"/>
                <w:kern w:val="0"/>
                <w:sz w:val="24"/>
                <w:szCs w:val="24"/>
              </w:rPr>
              <w:t>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2301202820 : 42,605,686.94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2301202821 : 32,178,348.66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2301202822 : 201,526,632.80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2301212313 : 80,182,746.44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2301202820 : 1.0361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2301202821 : 1.0365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2301202822 : 1.0367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2301212313 : 1.0023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2301202820 : 1.0361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2301202821 : 1.0365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2301202822 : 1.0367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2301212313 : 1.0023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9,444,720.92</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2</w:t>
            </w:r>
          </w:p>
        </w:tc>
        <w:tc>
          <w:tcPr>
            <w:tcW w:w="2620" w:type="dxa"/>
            <w:vAlign w:val="center"/>
          </w:tcPr>
          <w:p>
            <w:pPr>
              <w:jc w:val="center"/>
            </w:pPr>
            <w:r>
              <w:rPr>
                <w:rFonts w:eastAsia="Times New Roman"/>
                <w:color w:val="000000"/>
                <w:sz w:val="24"/>
              </w:rPr>
              <w:t>债券投资</w:t>
            </w:r>
          </w:p>
        </w:tc>
        <w:tc>
          <w:tcPr>
            <w:tcW w:w="2694" w:type="dxa"/>
            <w:vAlign w:val="center"/>
          </w:tcPr>
          <w:p>
            <w:pPr>
              <w:jc w:val="center"/>
            </w:pPr>
            <w:r>
              <w:rPr>
                <w:rFonts w:eastAsia="Times New Roman"/>
                <w:color w:val="000000"/>
                <w:sz w:val="24"/>
              </w:rPr>
              <w:t>342,609,000.00</w:t>
            </w:r>
          </w:p>
        </w:tc>
        <w:tc>
          <w:tcPr>
            <w:tcW w:w="2477" w:type="dxa"/>
            <w:vAlign w:val="center"/>
          </w:tcPr>
          <w:p>
            <w:pPr>
              <w:jc w:val="center"/>
            </w:pPr>
            <w:r>
              <w:rPr>
                <w:rFonts w:eastAsia="Times New Roman"/>
                <w:color w:val="000000"/>
                <w:sz w:val="24"/>
              </w:rPr>
              <w:t>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3</w:t>
            </w:r>
          </w:p>
        </w:tc>
        <w:tc>
          <w:tcPr>
            <w:tcW w:w="2620" w:type="dxa"/>
            <w:vAlign w:val="center"/>
          </w:tcPr>
          <w:p>
            <w:pPr>
              <w:jc w:val="center"/>
            </w:pPr>
            <w:r>
              <w:rPr>
                <w:rFonts w:eastAsia="Times New Roman"/>
                <w:color w:val="000000"/>
                <w:sz w:val="24"/>
              </w:rPr>
              <w:t>资产支持证券投资</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4</w:t>
            </w:r>
          </w:p>
        </w:tc>
        <w:tc>
          <w:tcPr>
            <w:tcW w:w="2620" w:type="dxa"/>
            <w:vAlign w:val="center"/>
          </w:tcPr>
          <w:p>
            <w:pPr>
              <w:jc w:val="center"/>
            </w:pPr>
            <w:r>
              <w:rPr>
                <w:rFonts w:eastAsia="Times New Roman"/>
                <w:color w:val="000000"/>
                <w:sz w:val="24"/>
              </w:rPr>
              <w:t>信托计划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5</w:t>
            </w:r>
          </w:p>
        </w:tc>
        <w:tc>
          <w:tcPr>
            <w:tcW w:w="2620" w:type="dxa"/>
            <w:vAlign w:val="center"/>
          </w:tcPr>
          <w:p>
            <w:pPr>
              <w:jc w:val="center"/>
            </w:pPr>
            <w:r>
              <w:rPr>
                <w:rFonts w:eastAsia="Times New Roman"/>
                <w:color w:val="000000"/>
                <w:sz w:val="24"/>
              </w:rPr>
              <w:t>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6</w:t>
            </w:r>
          </w:p>
        </w:tc>
        <w:tc>
          <w:tcPr>
            <w:tcW w:w="2620" w:type="dxa"/>
            <w:vAlign w:val="center"/>
          </w:tcPr>
          <w:p>
            <w:pPr>
              <w:jc w:val="center"/>
            </w:pPr>
            <w:r>
              <w:rPr>
                <w:rFonts w:eastAsia="Times New Roman"/>
                <w:color w:val="000000"/>
                <w:sz w:val="24"/>
              </w:rPr>
              <w:t>净值类资产管理计划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7</w:t>
            </w:r>
          </w:p>
        </w:tc>
        <w:tc>
          <w:tcPr>
            <w:tcW w:w="2620" w:type="dxa"/>
            <w:vAlign w:val="center"/>
          </w:tcPr>
          <w:p>
            <w:pPr>
              <w:jc w:val="center"/>
            </w:pPr>
            <w:r>
              <w:rPr>
                <w:rFonts w:eastAsia="Times New Roman"/>
                <w:color w:val="000000"/>
                <w:sz w:val="24"/>
              </w:rPr>
              <w:t>资金拆出</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8</w:t>
            </w:r>
          </w:p>
        </w:tc>
        <w:tc>
          <w:tcPr>
            <w:tcW w:w="2620" w:type="dxa"/>
            <w:vAlign w:val="center"/>
          </w:tcPr>
          <w:p>
            <w:pPr>
              <w:jc w:val="center"/>
            </w:pPr>
            <w:r>
              <w:rPr>
                <w:rFonts w:eastAsia="Times New Roman"/>
                <w:color w:val="000000"/>
                <w:sz w:val="24"/>
              </w:rPr>
              <w:t>结算备付金</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9</w:t>
            </w:r>
          </w:p>
        </w:tc>
        <w:tc>
          <w:tcPr>
            <w:tcW w:w="2620" w:type="dxa"/>
            <w:vAlign w:val="center"/>
          </w:tcPr>
          <w:p>
            <w:pPr>
              <w:jc w:val="center"/>
            </w:pPr>
            <w:r>
              <w:rPr>
                <w:rFonts w:eastAsia="Times New Roman"/>
                <w:color w:val="000000"/>
                <w:sz w:val="24"/>
              </w:rPr>
              <w:t>买入返售金融资产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10</w:t>
            </w:r>
          </w:p>
        </w:tc>
        <w:tc>
          <w:tcPr>
            <w:tcW w:w="2620" w:type="dxa"/>
            <w:vAlign w:val="center"/>
          </w:tcPr>
          <w:p>
            <w:pPr>
              <w:jc w:val="center"/>
            </w:pPr>
            <w:r>
              <w:rPr>
                <w:rFonts w:eastAsia="Times New Roman"/>
                <w:color w:val="000000"/>
                <w:sz w:val="24"/>
              </w:rPr>
              <w:t>其他资产</w:t>
            </w:r>
          </w:p>
        </w:tc>
        <w:tc>
          <w:tcPr>
            <w:tcW w:w="2694" w:type="dxa"/>
            <w:vAlign w:val="center"/>
          </w:tcPr>
          <w:p>
            <w:pPr>
              <w:jc w:val="center"/>
            </w:pPr>
            <w:r>
              <w:rPr>
                <w:rFonts w:eastAsia="Times New Roman"/>
                <w:color w:val="000000"/>
                <w:sz w:val="24"/>
              </w:rPr>
              <w:t>0.00</w:t>
            </w:r>
          </w:p>
        </w:tc>
        <w:tc>
          <w:tcPr>
            <w:tcW w:w="2477" w:type="dxa"/>
            <w:vAlign w:val="center"/>
          </w:tcPr>
          <w:p>
            <w:pPr>
              <w:jc w:val="center"/>
            </w:pPr>
            <w:r>
              <w:rPr>
                <w:rFonts w:eastAsia="Times New Roman"/>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11</w:t>
            </w:r>
          </w:p>
        </w:tc>
        <w:tc>
          <w:tcPr>
            <w:tcW w:w="2620" w:type="dxa"/>
            <w:vAlign w:val="center"/>
          </w:tcPr>
          <w:p>
            <w:pPr>
              <w:jc w:val="center"/>
            </w:pPr>
            <w:r>
              <w:rPr>
                <w:rFonts w:eastAsia="Times New Roman"/>
                <w:color w:val="000000"/>
                <w:sz w:val="24"/>
              </w:rPr>
              <w:t>应收利息</w:t>
            </w:r>
          </w:p>
        </w:tc>
        <w:tc>
          <w:tcPr>
            <w:tcW w:w="2694" w:type="dxa"/>
            <w:vAlign w:val="center"/>
          </w:tcPr>
          <w:p>
            <w:pPr>
              <w:jc w:val="center"/>
            </w:pPr>
            <w:r>
              <w:rPr>
                <w:rFonts w:eastAsia="Times New Roman"/>
                <w:color w:val="000000"/>
                <w:sz w:val="24"/>
              </w:rPr>
              <w:t>4,787,516.60</w:t>
            </w:r>
          </w:p>
        </w:tc>
        <w:tc>
          <w:tcPr>
            <w:tcW w:w="2477" w:type="dxa"/>
            <w:vAlign w:val="center"/>
          </w:tcPr>
          <w:p>
            <w:pPr>
              <w:jc w:val="center"/>
            </w:pPr>
            <w:r>
              <w:rPr>
                <w:rFonts w:eastAsia="Times New Roman"/>
                <w:color w:val="000000"/>
                <w:sz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eastAsia="Times New Roman"/>
                <w:color w:val="000000"/>
                <w:sz w:val="24"/>
              </w:rPr>
              <w:t>合计</w:t>
            </w:r>
          </w:p>
        </w:tc>
        <w:tc>
          <w:tcPr>
            <w:tcW w:w="2694" w:type="dxa"/>
            <w:vAlign w:val="center"/>
          </w:tcPr>
          <w:p>
            <w:pPr>
              <w:jc w:val="center"/>
            </w:pPr>
            <w:r>
              <w:rPr>
                <w:rFonts w:eastAsia="Times New Roman"/>
                <w:color w:val="000000"/>
                <w:sz w:val="24"/>
              </w:rPr>
              <w:t>356,841,237.52</w:t>
            </w:r>
          </w:p>
        </w:tc>
        <w:tc>
          <w:tcPr>
            <w:tcW w:w="2477" w:type="dxa"/>
            <w:vAlign w:val="center"/>
          </w:tcPr>
          <w:p>
            <w:pPr>
              <w:jc w:val="center"/>
            </w:pPr>
            <w:r>
              <w:rPr>
                <w:rFonts w:eastAsia="Times New Roman"/>
                <w:color w:val="000000"/>
                <w:sz w:val="24"/>
              </w:rPr>
              <w:t>100.10%</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napToGrid w:val="0"/>
        <w:spacing w:line="360" w:lineRule="auto"/>
        <w:ind w:firstLine="360"/>
        <w:jc w:val="left"/>
        <w:rPr>
          <w:rFonts w:hint="eastAsia" w:ascii="仿宋_GB2312" w:eastAsia="仿宋_GB2312"/>
          <w:color w:val="404040"/>
          <w:sz w:val="24"/>
          <w:szCs w:val="24"/>
        </w:rPr>
      </w:pPr>
      <w:r>
        <w:rPr>
          <w:rFonts w:hint="eastAsia" w:ascii="仿宋_GB2312" w:eastAsia="仿宋_GB2312"/>
          <w:color w:val="404040"/>
          <w:sz w:val="24"/>
          <w:szCs w:val="24"/>
        </w:rPr>
        <w:t>本产品采用混合估值法，通过分散化投资以及行内评审会流程精选资产，构建具有较好流动性、久期适中、信用风险可控的优质资产组合。本产品杠杆率控制在合理水平，组合的流动性风险处于合理可控水平。</w:t>
      </w:r>
    </w:p>
    <w:p>
      <w:pPr>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21国开05(预)</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202,500,000.00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56.80%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2</w:t>
            </w:r>
          </w:p>
        </w:tc>
        <w:tc>
          <w:tcPr>
            <w:tcW w:w="2268" w:type="dxa"/>
            <w:tcMar>
              <w:top w:w="15" w:type="dxa"/>
              <w:left w:w="15" w:type="dxa"/>
              <w:bottom w:w="0" w:type="dxa"/>
              <w:right w:w="15" w:type="dxa"/>
            </w:tcMar>
          </w:tcPr>
          <w:p>
            <w:pPr>
              <w:jc w:val="center"/>
            </w:pPr>
            <w:r>
              <w:rPr>
                <w:rFonts w:eastAsia="Times New Roman"/>
                <w:color w:val="000000"/>
                <w:sz w:val="24"/>
              </w:rPr>
              <w:t>19农发03</w:t>
            </w:r>
          </w:p>
        </w:tc>
        <w:tc>
          <w:tcPr>
            <w:tcW w:w="2835" w:type="dxa"/>
          </w:tcPr>
          <w:p>
            <w:pPr>
              <w:jc w:val="center"/>
            </w:pPr>
            <w:r>
              <w:rPr>
                <w:rFonts w:eastAsia="Times New Roman"/>
                <w:color w:val="000000"/>
                <w:sz w:val="24"/>
              </w:rPr>
              <w:t>30,135,000.00</w:t>
            </w:r>
          </w:p>
        </w:tc>
        <w:tc>
          <w:tcPr>
            <w:tcW w:w="2835" w:type="dxa"/>
            <w:tcMar>
              <w:top w:w="15" w:type="dxa"/>
              <w:left w:w="15" w:type="dxa"/>
              <w:bottom w:w="0" w:type="dxa"/>
              <w:right w:w="15" w:type="dxa"/>
            </w:tcMar>
          </w:tcPr>
          <w:p>
            <w:pPr>
              <w:jc w:val="center"/>
            </w:pPr>
            <w:r>
              <w:rPr>
                <w:rFonts w:eastAsia="Times New Roman"/>
                <w:color w:val="000000"/>
                <w:sz w:val="24"/>
              </w:rPr>
              <w:t>8.45%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3</w:t>
            </w:r>
          </w:p>
        </w:tc>
        <w:tc>
          <w:tcPr>
            <w:tcW w:w="2268" w:type="dxa"/>
            <w:tcMar>
              <w:top w:w="15" w:type="dxa"/>
              <w:left w:w="15" w:type="dxa"/>
              <w:bottom w:w="0" w:type="dxa"/>
              <w:right w:w="15" w:type="dxa"/>
            </w:tcMar>
          </w:tcPr>
          <w:p>
            <w:pPr>
              <w:jc w:val="center"/>
            </w:pPr>
            <w:r>
              <w:rPr>
                <w:rFonts w:eastAsia="Times New Roman"/>
                <w:color w:val="000000"/>
                <w:sz w:val="24"/>
              </w:rPr>
              <w:t>20国开16</w:t>
            </w:r>
          </w:p>
        </w:tc>
        <w:tc>
          <w:tcPr>
            <w:tcW w:w="2835" w:type="dxa"/>
          </w:tcPr>
          <w:p>
            <w:pPr>
              <w:jc w:val="center"/>
            </w:pPr>
            <w:r>
              <w:rPr>
                <w:rFonts w:eastAsia="Times New Roman"/>
                <w:color w:val="000000"/>
                <w:sz w:val="24"/>
              </w:rPr>
              <w:t>30,051,000.00</w:t>
            </w:r>
          </w:p>
        </w:tc>
        <w:tc>
          <w:tcPr>
            <w:tcW w:w="2835" w:type="dxa"/>
            <w:tcMar>
              <w:top w:w="15" w:type="dxa"/>
              <w:left w:w="15" w:type="dxa"/>
              <w:bottom w:w="0" w:type="dxa"/>
              <w:right w:w="15" w:type="dxa"/>
            </w:tcMar>
          </w:tcPr>
          <w:p>
            <w:pPr>
              <w:jc w:val="center"/>
            </w:pPr>
            <w:r>
              <w:rPr>
                <w:rFonts w:eastAsia="Times New Roman"/>
                <w:color w:val="000000"/>
                <w:sz w:val="24"/>
              </w:rPr>
              <w:t>8.43%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4</w:t>
            </w:r>
          </w:p>
        </w:tc>
        <w:tc>
          <w:tcPr>
            <w:tcW w:w="2268" w:type="dxa"/>
            <w:tcMar>
              <w:top w:w="15" w:type="dxa"/>
              <w:left w:w="15" w:type="dxa"/>
              <w:bottom w:w="0" w:type="dxa"/>
              <w:right w:w="15" w:type="dxa"/>
            </w:tcMar>
          </w:tcPr>
          <w:p>
            <w:pPr>
              <w:jc w:val="center"/>
            </w:pPr>
            <w:r>
              <w:rPr>
                <w:rFonts w:eastAsia="Times New Roman"/>
                <w:color w:val="000000"/>
                <w:sz w:val="24"/>
              </w:rPr>
              <w:t>20晋能CP010</w:t>
            </w:r>
          </w:p>
        </w:tc>
        <w:tc>
          <w:tcPr>
            <w:tcW w:w="2835" w:type="dxa"/>
          </w:tcPr>
          <w:p>
            <w:pPr>
              <w:jc w:val="center"/>
            </w:pPr>
            <w:r>
              <w:rPr>
                <w:rFonts w:eastAsia="Times New Roman"/>
                <w:color w:val="000000"/>
                <w:sz w:val="24"/>
              </w:rPr>
              <w:t>29,856,000.00</w:t>
            </w:r>
          </w:p>
        </w:tc>
        <w:tc>
          <w:tcPr>
            <w:tcW w:w="2835" w:type="dxa"/>
            <w:tcMar>
              <w:top w:w="15" w:type="dxa"/>
              <w:left w:w="15" w:type="dxa"/>
              <w:bottom w:w="0" w:type="dxa"/>
              <w:right w:w="15" w:type="dxa"/>
            </w:tcMar>
          </w:tcPr>
          <w:p>
            <w:pPr>
              <w:jc w:val="center"/>
            </w:pPr>
            <w:r>
              <w:rPr>
                <w:rFonts w:eastAsia="Times New Roman"/>
                <w:color w:val="000000"/>
                <w:sz w:val="24"/>
              </w:rPr>
              <w:t>8.37%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5</w:t>
            </w:r>
          </w:p>
        </w:tc>
        <w:tc>
          <w:tcPr>
            <w:tcW w:w="2268" w:type="dxa"/>
            <w:tcMar>
              <w:top w:w="15" w:type="dxa"/>
              <w:left w:w="15" w:type="dxa"/>
              <w:bottom w:w="0" w:type="dxa"/>
              <w:right w:w="15" w:type="dxa"/>
            </w:tcMar>
          </w:tcPr>
          <w:p>
            <w:pPr>
              <w:jc w:val="center"/>
            </w:pPr>
            <w:r>
              <w:rPr>
                <w:rFonts w:eastAsia="Times New Roman"/>
                <w:color w:val="000000"/>
                <w:sz w:val="24"/>
              </w:rPr>
              <w:t>21新疆交投SCP002</w:t>
            </w:r>
          </w:p>
        </w:tc>
        <w:tc>
          <w:tcPr>
            <w:tcW w:w="2835" w:type="dxa"/>
          </w:tcPr>
          <w:p>
            <w:pPr>
              <w:jc w:val="center"/>
            </w:pPr>
            <w:r>
              <w:rPr>
                <w:rFonts w:eastAsia="Times New Roman"/>
                <w:color w:val="000000"/>
                <w:sz w:val="24"/>
              </w:rPr>
              <w:t>19,992,000.00</w:t>
            </w:r>
          </w:p>
        </w:tc>
        <w:tc>
          <w:tcPr>
            <w:tcW w:w="2835" w:type="dxa"/>
            <w:tcMar>
              <w:top w:w="15" w:type="dxa"/>
              <w:left w:w="15" w:type="dxa"/>
              <w:bottom w:w="0" w:type="dxa"/>
              <w:right w:w="15" w:type="dxa"/>
            </w:tcMar>
          </w:tcPr>
          <w:p>
            <w:pPr>
              <w:jc w:val="center"/>
            </w:pPr>
            <w:r>
              <w:rPr>
                <w:rFonts w:eastAsia="Times New Roman"/>
                <w:color w:val="000000"/>
                <w:sz w:val="24"/>
              </w:rPr>
              <w:t>5.61%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6</w:t>
            </w:r>
          </w:p>
        </w:tc>
        <w:tc>
          <w:tcPr>
            <w:tcW w:w="2268" w:type="dxa"/>
            <w:tcMar>
              <w:top w:w="15" w:type="dxa"/>
              <w:left w:w="15" w:type="dxa"/>
              <w:bottom w:w="0" w:type="dxa"/>
              <w:right w:w="15" w:type="dxa"/>
            </w:tcMar>
          </w:tcPr>
          <w:p>
            <w:pPr>
              <w:jc w:val="center"/>
            </w:pPr>
            <w:r>
              <w:rPr>
                <w:rFonts w:eastAsia="Times New Roman"/>
                <w:color w:val="000000"/>
                <w:sz w:val="24"/>
              </w:rPr>
              <w:t>20晋煤CP007</w:t>
            </w:r>
          </w:p>
        </w:tc>
        <w:tc>
          <w:tcPr>
            <w:tcW w:w="2835" w:type="dxa"/>
          </w:tcPr>
          <w:p>
            <w:pPr>
              <w:jc w:val="center"/>
            </w:pPr>
            <w:r>
              <w:rPr>
                <w:rFonts w:eastAsia="Times New Roman"/>
                <w:color w:val="000000"/>
                <w:sz w:val="24"/>
              </w:rPr>
              <w:t>19,930,000.00</w:t>
            </w:r>
          </w:p>
        </w:tc>
        <w:tc>
          <w:tcPr>
            <w:tcW w:w="2835" w:type="dxa"/>
            <w:tcMar>
              <w:top w:w="15" w:type="dxa"/>
              <w:left w:w="15" w:type="dxa"/>
              <w:bottom w:w="0" w:type="dxa"/>
              <w:right w:w="15" w:type="dxa"/>
            </w:tcMar>
          </w:tcPr>
          <w:p>
            <w:pPr>
              <w:jc w:val="center"/>
            </w:pPr>
            <w:r>
              <w:rPr>
                <w:rFonts w:eastAsia="Times New Roman"/>
                <w:color w:val="000000"/>
                <w:sz w:val="24"/>
              </w:rPr>
              <w:t>5.59%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7</w:t>
            </w:r>
          </w:p>
        </w:tc>
        <w:tc>
          <w:tcPr>
            <w:tcW w:w="2268" w:type="dxa"/>
            <w:tcMar>
              <w:top w:w="15" w:type="dxa"/>
              <w:left w:w="15" w:type="dxa"/>
              <w:bottom w:w="0" w:type="dxa"/>
              <w:right w:w="15" w:type="dxa"/>
            </w:tcMar>
          </w:tcPr>
          <w:p>
            <w:pPr>
              <w:jc w:val="center"/>
            </w:pPr>
            <w:r>
              <w:rPr>
                <w:rFonts w:eastAsia="Times New Roman"/>
                <w:color w:val="000000"/>
                <w:sz w:val="24"/>
              </w:rPr>
              <w:t>19宁海交通MTN002</w:t>
            </w:r>
          </w:p>
        </w:tc>
        <w:tc>
          <w:tcPr>
            <w:tcW w:w="2835" w:type="dxa"/>
          </w:tcPr>
          <w:p>
            <w:pPr>
              <w:jc w:val="center"/>
            </w:pPr>
            <w:r>
              <w:rPr>
                <w:rFonts w:eastAsia="Times New Roman"/>
                <w:color w:val="000000"/>
                <w:sz w:val="24"/>
              </w:rPr>
              <w:t>10,145,000.00</w:t>
            </w:r>
          </w:p>
        </w:tc>
        <w:tc>
          <w:tcPr>
            <w:tcW w:w="2835" w:type="dxa"/>
            <w:tcMar>
              <w:top w:w="15" w:type="dxa"/>
              <w:left w:w="15" w:type="dxa"/>
              <w:bottom w:w="0" w:type="dxa"/>
              <w:right w:w="15" w:type="dxa"/>
            </w:tcMar>
          </w:tcPr>
          <w:p>
            <w:pPr>
              <w:jc w:val="center"/>
            </w:pPr>
            <w:r>
              <w:rPr>
                <w:rFonts w:eastAsia="Times New Roman"/>
                <w:color w:val="000000"/>
                <w:sz w:val="24"/>
              </w:rPr>
              <w:t>2.85%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8</w:t>
            </w:r>
          </w:p>
        </w:tc>
        <w:tc>
          <w:tcPr>
            <w:tcW w:w="2268" w:type="dxa"/>
            <w:tcMar>
              <w:top w:w="15" w:type="dxa"/>
              <w:left w:w="15" w:type="dxa"/>
              <w:bottom w:w="0" w:type="dxa"/>
              <w:right w:w="15" w:type="dxa"/>
            </w:tcMar>
          </w:tcPr>
          <w:p>
            <w:pPr>
              <w:jc w:val="center"/>
            </w:pPr>
            <w:r>
              <w:rPr>
                <w:rFonts w:eastAsia="Times New Roman"/>
                <w:color w:val="000000"/>
                <w:sz w:val="24"/>
              </w:rPr>
              <w:t>银行存款</w:t>
            </w:r>
          </w:p>
        </w:tc>
        <w:tc>
          <w:tcPr>
            <w:tcW w:w="2835" w:type="dxa"/>
          </w:tcPr>
          <w:p>
            <w:pPr>
              <w:jc w:val="center"/>
            </w:pPr>
            <w:r>
              <w:rPr>
                <w:rFonts w:eastAsia="Times New Roman"/>
                <w:color w:val="000000"/>
                <w:sz w:val="24"/>
              </w:rPr>
              <w:t>9,444,720.92</w:t>
            </w:r>
          </w:p>
        </w:tc>
        <w:tc>
          <w:tcPr>
            <w:tcW w:w="2835" w:type="dxa"/>
            <w:tcMar>
              <w:top w:w="15" w:type="dxa"/>
              <w:left w:w="15" w:type="dxa"/>
              <w:bottom w:w="0" w:type="dxa"/>
              <w:right w:w="15" w:type="dxa"/>
            </w:tcMar>
          </w:tcPr>
          <w:p>
            <w:pPr>
              <w:jc w:val="center"/>
            </w:pPr>
            <w:r>
              <w:rPr>
                <w:rFonts w:eastAsia="Times New Roman"/>
                <w:color w:val="000000"/>
                <w:sz w:val="24"/>
              </w:rPr>
              <w:t>2.65%</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C68EC"/>
    <w:rsid w:val="006E00B8"/>
    <w:rsid w:val="007167B6"/>
    <w:rsid w:val="00764CDF"/>
    <w:rsid w:val="00781652"/>
    <w:rsid w:val="007D042E"/>
    <w:rsid w:val="007E2254"/>
    <w:rsid w:val="008579C9"/>
    <w:rsid w:val="008D4921"/>
    <w:rsid w:val="009027FB"/>
    <w:rsid w:val="0093653B"/>
    <w:rsid w:val="00973891"/>
    <w:rsid w:val="009B41AF"/>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13AC3"/>
    <w:rsid w:val="00E61C1A"/>
    <w:rsid w:val="00E63347"/>
    <w:rsid w:val="00F864D2"/>
    <w:rsid w:val="00FB1262"/>
    <w:rsid w:val="00FB4D10"/>
    <w:rsid w:val="00FC64B6"/>
    <w:rsid w:val="11E63DD7"/>
    <w:rsid w:val="58A24963"/>
    <w:rsid w:val="5EFA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3"/>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脚注文本 字符"/>
    <w:basedOn w:val="6"/>
    <w:link w:val="4"/>
    <w:semiHidden/>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392</Words>
  <Characters>2237</Characters>
  <Lines>18</Lines>
  <Paragraphs>5</Paragraphs>
  <TotalTime>2</TotalTime>
  <ScaleCrop>false</ScaleCrop>
  <LinksUpToDate>false</LinksUpToDate>
  <CharactersWithSpaces>2624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2021-07-15T01:02:12Z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