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center"/>
        <w:rPr>
          <w:rFonts w:ascii="仿宋_GB2312" w:eastAsia="仿宋_GB2312"/>
          <w:b/>
          <w:bCs/>
          <w:sz w:val="24"/>
          <w:szCs w:val="24"/>
          <w:vertAlign w:val="superscript"/>
        </w:rPr>
      </w:pPr>
      <w:r>
        <w:rPr>
          <w:rFonts w:hint="eastAsia" w:ascii="仿宋_GB2312" w:eastAsia="仿宋_GB2312"/>
          <w:b/>
          <w:bCs/>
          <w:color w:val="000000"/>
          <w:sz w:val="24"/>
          <w:szCs w:val="24"/>
        </w:rPr>
        <w:t>公募理财产品定期</w:t>
      </w:r>
      <w:r>
        <w:rPr>
          <w:rFonts w:hint="eastAsia" w:ascii="仿宋_GB2312" w:eastAsia="仿宋_GB2312"/>
          <w:b/>
          <w:bCs/>
          <w:sz w:val="24"/>
          <w:szCs w:val="24"/>
        </w:rPr>
        <w:t>报告</w:t>
      </w:r>
    </w:p>
    <w:p>
      <w:pPr>
        <w:snapToGrid w:val="0"/>
        <w:spacing w:line="360" w:lineRule="auto"/>
        <w:rPr>
          <w:rFonts w:ascii="仿宋_GB2312" w:eastAsia="仿宋_GB2312"/>
          <w:b/>
          <w:bCs/>
          <w:sz w:val="24"/>
          <w:szCs w:val="24"/>
          <w:vertAlign w:val="superscript"/>
        </w:rPr>
      </w:pPr>
      <w:r>
        <w:rPr>
          <w:rFonts w:hint="eastAsia" w:ascii="仿宋_GB2312" w:eastAsia="仿宋_GB2312"/>
          <w:b/>
          <w:sz w:val="24"/>
          <w:szCs w:val="24"/>
        </w:rPr>
        <w:t>1</w:t>
      </w:r>
      <w:r>
        <w:rPr>
          <w:rFonts w:hint="eastAsia"/>
          <w:b/>
          <w:sz w:val="24"/>
          <w:szCs w:val="24"/>
        </w:rPr>
        <w:t> </w:t>
      </w:r>
      <w:r>
        <w:rPr>
          <w:rFonts w:hint="eastAsia" w:ascii="仿宋_GB2312" w:eastAsia="仿宋_GB2312"/>
          <w:b/>
          <w:sz w:val="24"/>
          <w:szCs w:val="24"/>
        </w:rPr>
        <w:t>.重要提示</w:t>
      </w:r>
    </w:p>
    <w:tbl>
      <w:tblPr>
        <w:tblStyle w:val="9"/>
        <w:tblW w:w="9072" w:type="dxa"/>
        <w:tblInd w:w="0" w:type="dxa"/>
        <w:tblBorders>
          <w:top w:val="single" w:color="auto" w:sz="4"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0" w:type="dxa"/>
          <w:bottom w:w="0" w:type="dxa"/>
          <w:right w:w="0" w:type="dxa"/>
        </w:tblCellMar>
      </w:tblPr>
      <w:tblGrid>
        <w:gridCol w:w="9072"/>
      </w:tblGrid>
      <w:tr>
        <w:tblPrEx>
          <w:tblBorders>
            <w:top w:val="single" w:color="auto" w:sz="4" w:space="0"/>
            <w:left w:val="single" w:color="auto" w:sz="8" w:space="0"/>
            <w:bottom w:val="single" w:color="auto" w:sz="8" w:space="0"/>
            <w:right w:val="single" w:color="auto" w:sz="8" w:space="0"/>
            <w:insideH w:val="none" w:color="auto" w:sz="0" w:space="0"/>
            <w:insideV w:val="none" w:color="auto" w:sz="0" w:space="0"/>
          </w:tblBorders>
          <w:tblLayout w:type="fixed"/>
        </w:tblPrEx>
        <w:trPr>
          <w:trHeight w:val="2514" w:hRule="atLeast"/>
        </w:trPr>
        <w:tc>
          <w:tcPr>
            <w:tcW w:w="9072" w:type="dxa"/>
            <w:tcMar>
              <w:top w:w="0" w:type="dxa"/>
              <w:left w:w="108" w:type="dxa"/>
              <w:bottom w:w="0" w:type="dxa"/>
              <w:right w:w="108" w:type="dxa"/>
            </w:tcMar>
          </w:tcPr>
          <w:p>
            <w:pPr>
              <w:snapToGrid w:val="0"/>
              <w:spacing w:line="360" w:lineRule="auto"/>
              <w:ind w:firstLine="360"/>
              <w:jc w:val="left"/>
              <w:rPr>
                <w:rFonts w:ascii="仿宋_GB2312" w:hAnsi="Calibri" w:eastAsia="仿宋_GB2312" w:cs="宋体"/>
                <w:color w:val="404040"/>
                <w:sz w:val="24"/>
                <w:szCs w:val="24"/>
              </w:rPr>
            </w:pPr>
            <w:r>
              <w:rPr>
                <w:rFonts w:hint="eastAsia" w:ascii="仿宋_GB2312" w:eastAsia="仿宋_GB2312"/>
                <w:color w:val="404040"/>
                <w:sz w:val="24"/>
                <w:szCs w:val="24"/>
              </w:rPr>
              <w:t>产品管理人保证本报告所载资料不存在虚假记载、误导性陈述或重大遗漏，并对其内容的真实性、准确性和完整性负责。</w:t>
            </w:r>
          </w:p>
          <w:p>
            <w:pPr>
              <w:snapToGrid w:val="0"/>
              <w:spacing w:line="360" w:lineRule="auto"/>
              <w:ind w:firstLine="360"/>
              <w:jc w:val="left"/>
              <w:rPr>
                <w:rFonts w:ascii="仿宋_GB2312" w:eastAsia="仿宋_GB2312"/>
                <w:color w:val="404040"/>
                <w:sz w:val="24"/>
                <w:szCs w:val="24"/>
              </w:rPr>
            </w:pPr>
            <w:r>
              <w:rPr>
                <w:rFonts w:hint="eastAsia" w:ascii="仿宋_GB2312" w:eastAsia="仿宋_GB2312"/>
                <w:color w:val="404040"/>
                <w:sz w:val="24"/>
                <w:szCs w:val="24"/>
              </w:rPr>
              <w:t>产品托管人上海浦东发展银行根据本产品合同规定，复核了本报告中的财务指标、净值表现、投资组合报告等内容，保证复核内容不存在虚假记载、误导性陈述或者重大遗漏。　</w:t>
            </w:r>
          </w:p>
          <w:p>
            <w:pPr>
              <w:snapToGrid w:val="0"/>
              <w:spacing w:line="360" w:lineRule="auto"/>
              <w:ind w:firstLine="360"/>
              <w:jc w:val="left"/>
              <w:rPr>
                <w:rFonts w:ascii="仿宋_GB2312" w:eastAsia="仿宋_GB2312"/>
                <w:color w:val="404040"/>
                <w:sz w:val="24"/>
                <w:szCs w:val="24"/>
              </w:rPr>
            </w:pPr>
            <w:r>
              <w:rPr>
                <w:rFonts w:hint="eastAsia" w:ascii="仿宋_GB2312" w:eastAsia="仿宋_GB2312"/>
                <w:color w:val="404040"/>
                <w:sz w:val="24"/>
                <w:szCs w:val="24"/>
              </w:rPr>
              <w:t>产品管理人承诺以诚实信用、勤勉尽责的原则管理和运用产品资产，但不保证产品一定盈利。　　</w:t>
            </w:r>
          </w:p>
          <w:p>
            <w:pPr>
              <w:snapToGrid w:val="0"/>
              <w:spacing w:line="360" w:lineRule="auto"/>
              <w:ind w:firstLine="360"/>
              <w:jc w:val="left"/>
              <w:rPr>
                <w:rFonts w:ascii="仿宋_GB2312" w:eastAsia="仿宋_GB2312"/>
                <w:color w:val="404040"/>
                <w:sz w:val="24"/>
                <w:szCs w:val="24"/>
              </w:rPr>
            </w:pPr>
            <w:r>
              <w:rPr>
                <w:rFonts w:hint="eastAsia" w:ascii="仿宋_GB2312" w:eastAsia="仿宋_GB2312"/>
                <w:color w:val="404040"/>
                <w:sz w:val="24"/>
                <w:szCs w:val="24"/>
              </w:rPr>
              <w:t>产品的过往业绩并不代表其未来表现。投资有风险，投资者在做出投资决策前应仔细阅读本产品的销售文件。</w:t>
            </w:r>
          </w:p>
          <w:p>
            <w:pPr>
              <w:snapToGrid w:val="0"/>
              <w:spacing w:line="360" w:lineRule="auto"/>
              <w:ind w:firstLine="360"/>
              <w:jc w:val="left"/>
              <w:rPr>
                <w:rFonts w:ascii="仿宋_GB2312" w:hAnsi="Calibri" w:eastAsia="仿宋_GB2312" w:cs="宋体"/>
                <w:color w:val="404040"/>
                <w:sz w:val="24"/>
                <w:szCs w:val="24"/>
              </w:rPr>
            </w:pPr>
            <w:r>
              <w:rPr>
                <w:rFonts w:hint="eastAsia" w:ascii="仿宋_GB2312" w:eastAsia="仿宋_GB2312"/>
                <w:color w:val="404040"/>
                <w:sz w:val="24"/>
                <w:szCs w:val="24"/>
              </w:rPr>
              <w:t>本报告中财务资料未经审计。</w:t>
            </w:r>
          </w:p>
        </w:tc>
      </w:tr>
    </w:tbl>
    <w:p>
      <w:pPr>
        <w:snapToGrid w:val="0"/>
        <w:spacing w:line="360" w:lineRule="auto"/>
        <w:rPr>
          <w:rFonts w:ascii="仿宋_GB2312" w:eastAsia="仿宋_GB2312"/>
          <w:b/>
          <w:sz w:val="24"/>
          <w:szCs w:val="24"/>
        </w:rPr>
      </w:pPr>
      <w:r>
        <w:rPr>
          <w:rFonts w:hint="eastAsia" w:ascii="仿宋_GB2312" w:eastAsia="仿宋_GB2312"/>
          <w:b/>
          <w:sz w:val="24"/>
          <w:szCs w:val="24"/>
        </w:rPr>
        <w:t>2. 产品概况</w:t>
      </w:r>
    </w:p>
    <w:tbl>
      <w:tblPr>
        <w:tblStyle w:val="9"/>
        <w:tblW w:w="9072" w:type="dxa"/>
        <w:tblInd w:w="0" w:type="dxa"/>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219"/>
        <w:gridCol w:w="4853"/>
      </w:tblGrid>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4219" w:type="dxa"/>
            <w:tcMar>
              <w:top w:w="0" w:type="dxa"/>
              <w:left w:w="108" w:type="dxa"/>
              <w:bottom w:w="0" w:type="dxa"/>
              <w:right w:w="108" w:type="dxa"/>
            </w:tcMar>
            <w:vAlign w:val="center"/>
          </w:tcPr>
          <w:p>
            <w:pPr>
              <w:snapToGrid w:val="0"/>
              <w:spacing w:line="360" w:lineRule="auto"/>
              <w:ind w:firstLine="480"/>
              <w:jc w:val="center"/>
              <w:rPr>
                <w:rFonts w:ascii="仿宋_GB2312" w:hAnsi="Calibri" w:eastAsia="仿宋_GB2312" w:cs="宋体"/>
                <w:color w:val="FF0000"/>
                <w:sz w:val="24"/>
                <w:szCs w:val="24"/>
              </w:rPr>
            </w:pPr>
            <w:r>
              <w:rPr>
                <w:rFonts w:hint="eastAsia" w:ascii="仿宋_GB2312" w:eastAsia="仿宋_GB2312" w:hAnsiTheme="minorEastAsia"/>
                <w:kern w:val="0"/>
                <w:sz w:val="24"/>
                <w:szCs w:val="24"/>
              </w:rPr>
              <w:t>产品名称</w:t>
            </w:r>
          </w:p>
        </w:tc>
        <w:tc>
          <w:tcPr>
            <w:tcW w:w="4853" w:type="dxa"/>
            <w:tcMar>
              <w:top w:w="0" w:type="dxa"/>
              <w:left w:w="108" w:type="dxa"/>
              <w:bottom w:w="0" w:type="dxa"/>
              <w:right w:w="108" w:type="dxa"/>
            </w:tcMar>
            <w:vAlign w:val="center"/>
          </w:tcPr>
          <w:p>
            <w:pPr>
              <w:snapToGrid w:val="0"/>
              <w:spacing w:line="360" w:lineRule="auto"/>
              <w:jc w:val="center"/>
              <w:rPr>
                <w:rFonts w:ascii="仿宋_GB2312" w:hAnsi="Calibri" w:eastAsia="仿宋_GB2312" w:cs="宋体"/>
                <w:color w:val="000000"/>
                <w:sz w:val="24"/>
                <w:szCs w:val="24"/>
              </w:rPr>
            </w:pPr>
            <w:r>
              <w:rPr>
                <w:rFonts w:ascii="仿宋_GB2312" w:hAnsi="Calibri" w:eastAsia="仿宋_GB2312" w:cs="宋体"/>
                <w:color w:val="000000"/>
                <w:sz w:val="24"/>
                <w:szCs w:val="24"/>
              </w:rPr>
              <w:t>鑫盈利系列1年定开5号理财产品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4219" w:type="dxa"/>
            <w:tcMar>
              <w:top w:w="0" w:type="dxa"/>
              <w:left w:w="108" w:type="dxa"/>
              <w:bottom w:w="0" w:type="dxa"/>
              <w:right w:w="108" w:type="dxa"/>
            </w:tcMar>
            <w:vAlign w:val="center"/>
          </w:tcPr>
          <w:p>
            <w:pPr>
              <w:adjustRightInd w:val="0"/>
              <w:snapToGrid w:val="0"/>
              <w:spacing w:line="360" w:lineRule="auto"/>
              <w:ind w:firstLine="480"/>
              <w:jc w:val="center"/>
              <w:rPr>
                <w:rFonts w:ascii="仿宋_GB2312" w:eastAsia="仿宋_GB2312" w:hAnsiTheme="minorEastAsia"/>
                <w:kern w:val="0"/>
                <w:sz w:val="24"/>
                <w:szCs w:val="24"/>
              </w:rPr>
            </w:pPr>
            <w:r>
              <w:rPr>
                <w:rFonts w:hint="eastAsia" w:ascii="仿宋_GB2312" w:eastAsia="仿宋_GB2312" w:hAnsiTheme="minorEastAsia"/>
                <w:kern w:val="0"/>
                <w:sz w:val="24"/>
                <w:szCs w:val="24"/>
              </w:rPr>
              <w:t>产品代码</w:t>
            </w:r>
          </w:p>
        </w:tc>
        <w:tc>
          <w:tcPr>
            <w:tcW w:w="4853" w:type="dxa"/>
            <w:tcMar>
              <w:top w:w="0" w:type="dxa"/>
              <w:left w:w="108" w:type="dxa"/>
              <w:bottom w:w="0" w:type="dxa"/>
              <w:right w:w="108" w:type="dxa"/>
            </w:tcMar>
            <w:vAlign w:val="center"/>
          </w:tcPr>
          <w:p>
            <w:pPr>
              <w:adjustRightInd w:val="0"/>
              <w:snapToGrid w:val="0"/>
              <w:spacing w:line="360" w:lineRule="auto"/>
              <w:jc w:val="center"/>
              <w:rPr>
                <w:rFonts w:ascii="仿宋_GB2312" w:eastAsia="仿宋_GB2312" w:hAnsiTheme="minorEastAsia"/>
                <w:color w:val="000000"/>
                <w:kern w:val="0"/>
                <w:sz w:val="24"/>
                <w:szCs w:val="24"/>
              </w:rPr>
            </w:pPr>
            <w:r>
              <w:rPr>
                <w:rFonts w:ascii="仿宋_GB2312" w:hAnsi="Calibri" w:eastAsia="仿宋_GB2312" w:cs="宋体"/>
                <w:color w:val="000000"/>
                <w:sz w:val="24"/>
                <w:szCs w:val="24"/>
              </w:rPr>
              <w:t>2301202505(销售代码:2301202808/2301202809/2301202810/2301202811)</w:t>
            </w:r>
          </w:p>
        </w:tc>
      </w:tr>
      <w:tr>
        <w:tblPrEx>
          <w:tblBorders>
            <w:top w:val="none" w:color="auto" w:sz="0" w:space="0"/>
            <w:left w:val="single" w:color="auto" w:sz="4" w:space="0"/>
            <w:bottom w:val="none" w:color="auto" w:sz="0"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4219" w:type="dxa"/>
            <w:tcMar>
              <w:top w:w="0" w:type="dxa"/>
              <w:left w:w="108" w:type="dxa"/>
              <w:bottom w:w="0" w:type="dxa"/>
              <w:right w:w="108" w:type="dxa"/>
            </w:tcMar>
            <w:vAlign w:val="center"/>
          </w:tcPr>
          <w:p>
            <w:pPr>
              <w:adjustRightInd w:val="0"/>
              <w:snapToGrid w:val="0"/>
              <w:spacing w:line="360" w:lineRule="auto"/>
              <w:ind w:firstLine="480"/>
              <w:jc w:val="center"/>
              <w:rPr>
                <w:rFonts w:ascii="仿宋_GB2312" w:eastAsia="仿宋_GB2312" w:hAnsiTheme="minorEastAsia"/>
                <w:kern w:val="0"/>
                <w:sz w:val="24"/>
                <w:szCs w:val="24"/>
              </w:rPr>
            </w:pPr>
            <w:r>
              <w:rPr>
                <w:rFonts w:hint="eastAsia" w:ascii="仿宋_GB2312" w:eastAsia="仿宋_GB2312" w:hAnsiTheme="minorEastAsia"/>
                <w:kern w:val="0"/>
                <w:sz w:val="24"/>
                <w:szCs w:val="24"/>
              </w:rPr>
              <w:t>产品登记编码</w:t>
            </w:r>
            <w:r>
              <w:rPr>
                <w:rStyle w:val="8"/>
                <w:rFonts w:ascii="仿宋_GB2312" w:eastAsia="仿宋_GB2312" w:hAnsiTheme="minorEastAsia"/>
                <w:kern w:val="0"/>
                <w:sz w:val="24"/>
                <w:szCs w:val="24"/>
              </w:rPr>
              <w:footnoteReference w:id="0"/>
            </w:r>
          </w:p>
        </w:tc>
        <w:tc>
          <w:tcPr>
            <w:tcW w:w="4853" w:type="dxa"/>
            <w:tcMar>
              <w:top w:w="0" w:type="dxa"/>
              <w:left w:w="108" w:type="dxa"/>
              <w:bottom w:w="0" w:type="dxa"/>
              <w:right w:w="108" w:type="dxa"/>
            </w:tcMar>
            <w:vAlign w:val="center"/>
          </w:tcPr>
          <w:p>
            <w:pPr>
              <w:adjustRightInd w:val="0"/>
              <w:snapToGrid w:val="0"/>
              <w:spacing w:line="360" w:lineRule="auto"/>
              <w:jc w:val="center"/>
              <w:rPr>
                <w:rFonts w:ascii="仿宋_GB2312" w:eastAsia="仿宋_GB2312" w:cs="宋体" w:hAnsiTheme="minorEastAsia"/>
                <w:color w:val="000000"/>
                <w:sz w:val="24"/>
                <w:szCs w:val="24"/>
              </w:rPr>
            </w:pPr>
            <w:r>
              <w:rPr>
                <w:rFonts w:ascii="仿宋_GB2312" w:hAnsi="Calibri" w:eastAsia="仿宋_GB2312" w:cs="宋体"/>
                <w:color w:val="000000"/>
                <w:sz w:val="24"/>
                <w:szCs w:val="24"/>
              </w:rPr>
              <w:t>C1031020000005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4219" w:type="dxa"/>
            <w:tcMar>
              <w:top w:w="0" w:type="dxa"/>
              <w:left w:w="108" w:type="dxa"/>
              <w:bottom w:w="0" w:type="dxa"/>
              <w:right w:w="108" w:type="dxa"/>
            </w:tcMar>
            <w:vAlign w:val="center"/>
          </w:tcPr>
          <w:p>
            <w:pPr>
              <w:adjustRightInd w:val="0"/>
              <w:snapToGrid w:val="0"/>
              <w:spacing w:line="360" w:lineRule="auto"/>
              <w:ind w:firstLine="480"/>
              <w:jc w:val="center"/>
              <w:rPr>
                <w:rFonts w:ascii="仿宋_GB2312" w:eastAsia="仿宋_GB2312" w:cs="宋体" w:hAnsiTheme="minorEastAsia"/>
                <w:sz w:val="24"/>
                <w:szCs w:val="24"/>
              </w:rPr>
            </w:pPr>
            <w:r>
              <w:rPr>
                <w:rFonts w:hint="eastAsia" w:ascii="仿宋_GB2312" w:eastAsia="仿宋_GB2312" w:hAnsiTheme="minorEastAsia"/>
                <w:kern w:val="0"/>
                <w:sz w:val="24"/>
                <w:szCs w:val="24"/>
              </w:rPr>
              <w:t>产品类型</w:t>
            </w:r>
          </w:p>
        </w:tc>
        <w:tc>
          <w:tcPr>
            <w:tcW w:w="4853" w:type="dxa"/>
            <w:tcMar>
              <w:top w:w="0" w:type="dxa"/>
              <w:left w:w="108" w:type="dxa"/>
              <w:bottom w:w="0" w:type="dxa"/>
              <w:right w:w="108" w:type="dxa"/>
            </w:tcMar>
            <w:vAlign w:val="center"/>
          </w:tcPr>
          <w:p>
            <w:pPr>
              <w:adjustRightInd w:val="0"/>
              <w:snapToGrid w:val="0"/>
              <w:spacing w:line="360" w:lineRule="auto"/>
              <w:jc w:val="center"/>
              <w:rPr>
                <w:rFonts w:ascii="仿宋_GB2312" w:eastAsia="仿宋_GB2312" w:cs="宋体" w:hAnsiTheme="minorEastAsia"/>
                <w:color w:val="000000"/>
                <w:sz w:val="24"/>
                <w:szCs w:val="24"/>
              </w:rPr>
            </w:pPr>
            <w:r>
              <w:rPr>
                <w:rFonts w:ascii="仿宋_GB2312" w:hAnsi="Calibri" w:eastAsia="仿宋_GB2312" w:cs="宋体"/>
                <w:color w:val="000000"/>
                <w:sz w:val="24"/>
                <w:szCs w:val="24"/>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4219" w:type="dxa"/>
            <w:tcMar>
              <w:top w:w="0" w:type="dxa"/>
              <w:left w:w="108" w:type="dxa"/>
              <w:bottom w:w="0" w:type="dxa"/>
              <w:right w:w="108" w:type="dxa"/>
            </w:tcMar>
            <w:vAlign w:val="center"/>
          </w:tcPr>
          <w:p>
            <w:pPr>
              <w:adjustRightInd w:val="0"/>
              <w:snapToGrid w:val="0"/>
              <w:spacing w:line="360" w:lineRule="auto"/>
              <w:ind w:firstLine="480"/>
              <w:jc w:val="center"/>
              <w:rPr>
                <w:rFonts w:ascii="仿宋_GB2312" w:eastAsia="仿宋_GB2312" w:cs="宋体" w:hAnsiTheme="minorEastAsia"/>
                <w:sz w:val="24"/>
                <w:szCs w:val="24"/>
              </w:rPr>
            </w:pPr>
            <w:r>
              <w:rPr>
                <w:rFonts w:hint="eastAsia" w:ascii="仿宋_GB2312" w:eastAsia="仿宋_GB2312" w:hAnsiTheme="minorEastAsia"/>
                <w:kern w:val="0"/>
                <w:sz w:val="24"/>
                <w:szCs w:val="24"/>
              </w:rPr>
              <w:t>产品成立日</w:t>
            </w:r>
          </w:p>
        </w:tc>
        <w:tc>
          <w:tcPr>
            <w:tcW w:w="4853" w:type="dxa"/>
            <w:tcMar>
              <w:top w:w="0" w:type="dxa"/>
              <w:left w:w="108" w:type="dxa"/>
              <w:bottom w:w="0" w:type="dxa"/>
              <w:right w:w="108" w:type="dxa"/>
            </w:tcMar>
            <w:vAlign w:val="center"/>
          </w:tcPr>
          <w:p>
            <w:pPr>
              <w:adjustRightInd w:val="0"/>
              <w:snapToGrid w:val="0"/>
              <w:spacing w:line="360" w:lineRule="auto"/>
              <w:jc w:val="center"/>
              <w:rPr>
                <w:rFonts w:ascii="仿宋_GB2312" w:eastAsia="仿宋_GB2312" w:cs="宋体" w:hAnsiTheme="minorEastAsia"/>
                <w:color w:val="000000"/>
                <w:sz w:val="24"/>
                <w:szCs w:val="24"/>
              </w:rPr>
            </w:pPr>
            <w:r>
              <w:rPr>
                <w:rFonts w:ascii="仿宋_GB2312" w:hAnsi="Calibri" w:eastAsia="仿宋_GB2312" w:cs="宋体"/>
                <w:color w:val="000000"/>
                <w:sz w:val="24"/>
                <w:szCs w:val="24"/>
              </w:rPr>
              <w:t>2020-04-22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4219" w:type="dxa"/>
            <w:tcMar>
              <w:top w:w="0" w:type="dxa"/>
              <w:left w:w="108" w:type="dxa"/>
              <w:bottom w:w="0" w:type="dxa"/>
              <w:right w:w="108" w:type="dxa"/>
            </w:tcMar>
            <w:vAlign w:val="center"/>
          </w:tcPr>
          <w:p>
            <w:pPr>
              <w:adjustRightInd w:val="0"/>
              <w:snapToGrid w:val="0"/>
              <w:spacing w:line="360" w:lineRule="auto"/>
              <w:ind w:firstLine="480"/>
              <w:jc w:val="center"/>
              <w:rPr>
                <w:rFonts w:ascii="仿宋_GB2312" w:eastAsia="仿宋_GB2312" w:cs="宋体" w:hAnsiTheme="minorEastAsia"/>
                <w:sz w:val="24"/>
                <w:szCs w:val="24"/>
              </w:rPr>
            </w:pPr>
            <w:r>
              <w:rPr>
                <w:rFonts w:hint="eastAsia" w:ascii="仿宋_GB2312" w:eastAsia="仿宋_GB2312" w:hAnsiTheme="minorEastAsia"/>
                <w:kern w:val="0"/>
                <w:sz w:val="24"/>
                <w:szCs w:val="24"/>
              </w:rPr>
              <w:t>报告期末产品份额总额</w:t>
            </w:r>
          </w:p>
        </w:tc>
        <w:tc>
          <w:tcPr>
            <w:tcW w:w="4853" w:type="dxa"/>
            <w:tcMar>
              <w:top w:w="0" w:type="dxa"/>
              <w:left w:w="108" w:type="dxa"/>
              <w:bottom w:w="0" w:type="dxa"/>
              <w:right w:w="108" w:type="dxa"/>
            </w:tcMar>
            <w:vAlign w:val="center"/>
          </w:tcPr>
          <w:p>
            <w:pPr>
              <w:adjustRightInd w:val="0"/>
              <w:snapToGrid w:val="0"/>
              <w:spacing w:line="360" w:lineRule="auto"/>
              <w:ind w:firstLine="420"/>
              <w:jc w:val="center"/>
              <w:rPr>
                <w:rFonts w:ascii="仿宋_GB2312" w:eastAsia="仿宋_GB2312" w:cs="宋体" w:hAnsiTheme="minorEastAsia"/>
                <w:color w:val="000000"/>
                <w:sz w:val="24"/>
                <w:szCs w:val="24"/>
              </w:rPr>
            </w:pPr>
            <w:r>
              <w:rPr>
                <w:rFonts w:ascii="仿宋_GB2312" w:eastAsia="仿宋_GB2312" w:cs="宋体" w:hAnsiTheme="minorEastAsia"/>
                <w:color w:val="000000"/>
                <w:sz w:val="24"/>
                <w:szCs w:val="24"/>
              </w:rPr>
              <w:t>3,280,730,298.11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4219" w:type="dxa"/>
            <w:tcMar>
              <w:top w:w="0" w:type="dxa"/>
              <w:left w:w="108" w:type="dxa"/>
              <w:bottom w:w="0" w:type="dxa"/>
              <w:right w:w="108" w:type="dxa"/>
            </w:tcMar>
            <w:vAlign w:val="center"/>
          </w:tcPr>
          <w:p>
            <w:pPr>
              <w:adjustRightInd w:val="0"/>
              <w:snapToGrid w:val="0"/>
              <w:spacing w:line="360" w:lineRule="auto"/>
              <w:ind w:firstLine="480"/>
              <w:jc w:val="center"/>
              <w:rPr>
                <w:rFonts w:ascii="仿宋_GB2312" w:eastAsia="仿宋_GB2312" w:hAnsiTheme="minorEastAsia"/>
                <w:kern w:val="0"/>
                <w:sz w:val="24"/>
                <w:szCs w:val="24"/>
              </w:rPr>
            </w:pPr>
            <w:r>
              <w:rPr>
                <w:rFonts w:hint="eastAsia" w:ascii="仿宋_GB2312" w:eastAsia="仿宋_GB2312" w:hAnsiTheme="minorEastAsia"/>
                <w:kern w:val="0"/>
                <w:sz w:val="24"/>
                <w:szCs w:val="24"/>
              </w:rPr>
              <w:t>报告期末产品杠杆水平</w:t>
            </w:r>
          </w:p>
        </w:tc>
        <w:tc>
          <w:tcPr>
            <w:tcW w:w="4853" w:type="dxa"/>
            <w:tcMar>
              <w:top w:w="0" w:type="dxa"/>
              <w:left w:w="108" w:type="dxa"/>
              <w:bottom w:w="0" w:type="dxa"/>
              <w:right w:w="108" w:type="dxa"/>
            </w:tcMar>
            <w:vAlign w:val="center"/>
          </w:tcPr>
          <w:p>
            <w:pPr>
              <w:adjustRightInd w:val="0"/>
              <w:snapToGrid w:val="0"/>
              <w:spacing w:line="360" w:lineRule="auto"/>
              <w:ind w:firstLine="420"/>
              <w:jc w:val="center"/>
              <w:rPr>
                <w:rFonts w:ascii="仿宋_GB2312" w:eastAsia="仿宋_GB2312" w:cs="宋体" w:hAnsiTheme="minorEastAsia"/>
                <w:color w:val="000000"/>
                <w:sz w:val="24"/>
                <w:szCs w:val="24"/>
              </w:rPr>
            </w:pPr>
            <w:r>
              <w:rPr>
                <w:rFonts w:ascii="仿宋_GB2312" w:eastAsia="仿宋_GB2312" w:cs="宋体" w:hAnsiTheme="minorEastAsia"/>
                <w:color w:val="000000"/>
                <w:sz w:val="24"/>
                <w:szCs w:val="24"/>
              </w:rPr>
              <w:t>100.13%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4219" w:type="dxa"/>
            <w:tcMar>
              <w:top w:w="0" w:type="dxa"/>
              <w:left w:w="108" w:type="dxa"/>
              <w:bottom w:w="0" w:type="dxa"/>
              <w:right w:w="108" w:type="dxa"/>
            </w:tcMar>
            <w:vAlign w:val="center"/>
          </w:tcPr>
          <w:p>
            <w:pPr>
              <w:adjustRightInd w:val="0"/>
              <w:snapToGrid w:val="0"/>
              <w:spacing w:line="360" w:lineRule="auto"/>
              <w:ind w:firstLine="480"/>
              <w:jc w:val="center"/>
              <w:rPr>
                <w:rFonts w:ascii="仿宋_GB2312" w:eastAsia="仿宋_GB2312" w:cs="宋体" w:hAnsiTheme="minorEastAsia"/>
                <w:sz w:val="24"/>
                <w:szCs w:val="24"/>
              </w:rPr>
            </w:pPr>
            <w:r>
              <w:rPr>
                <w:rFonts w:hint="eastAsia" w:ascii="仿宋_GB2312" w:eastAsia="仿宋_GB2312" w:hAnsiTheme="minorEastAsia"/>
                <w:kern w:val="0"/>
                <w:sz w:val="24"/>
                <w:szCs w:val="24"/>
              </w:rPr>
              <w:t>业绩比较基准</w:t>
            </w:r>
          </w:p>
        </w:tc>
        <w:tc>
          <w:tcPr>
            <w:tcW w:w="4853" w:type="dxa"/>
            <w:tcMar>
              <w:top w:w="0" w:type="dxa"/>
              <w:left w:w="108" w:type="dxa"/>
              <w:bottom w:w="0" w:type="dxa"/>
              <w:right w:w="108" w:type="dxa"/>
            </w:tcMar>
            <w:vAlign w:val="center"/>
          </w:tcPr>
          <w:p>
            <w:pPr>
              <w:adjustRightInd w:val="0"/>
              <w:snapToGrid w:val="0"/>
              <w:spacing w:line="360" w:lineRule="auto"/>
              <w:jc w:val="center"/>
              <w:rPr>
                <w:rFonts w:ascii="仿宋_GB2312" w:eastAsia="仿宋_GB2312" w:cs="宋体" w:hAnsiTheme="minorEastAsia"/>
                <w:color w:val="000000"/>
                <w:sz w:val="24"/>
                <w:szCs w:val="24"/>
              </w:rPr>
            </w:pPr>
            <w:r>
              <w:rPr>
                <w:rFonts w:ascii="仿宋_GB2312" w:hAnsi="Calibri" w:eastAsia="仿宋_GB2312" w:cs="宋体"/>
                <w:color w:val="000000"/>
                <w:sz w:val="24"/>
                <w:szCs w:val="24"/>
              </w:rPr>
              <w:t>2301202808 : 3.70%-4.20%</w:t>
            </w:r>
            <w:r>
              <w:rPr>
                <w:rFonts w:ascii="仿宋_GB2312" w:hAnsi="Calibri" w:eastAsia="仿宋_GB2312" w:cs="宋体"/>
                <w:color w:val="000000"/>
                <w:sz w:val="24"/>
                <w:szCs w:val="24"/>
              </w:rPr>
              <w:br w:type="textWrapping"/>
            </w:r>
            <w:r>
              <w:rPr>
                <w:rFonts w:ascii="仿宋_GB2312" w:hAnsi="Calibri" w:eastAsia="仿宋_GB2312" w:cs="宋体"/>
                <w:color w:val="000000"/>
                <w:sz w:val="24"/>
                <w:szCs w:val="24"/>
              </w:rPr>
              <w:t>2301202809 : 3.73%-4.23%</w:t>
            </w:r>
            <w:r>
              <w:rPr>
                <w:rFonts w:ascii="仿宋_GB2312" w:hAnsi="Calibri" w:eastAsia="仿宋_GB2312" w:cs="宋体"/>
                <w:color w:val="000000"/>
                <w:sz w:val="24"/>
                <w:szCs w:val="24"/>
              </w:rPr>
              <w:br w:type="textWrapping"/>
            </w:r>
            <w:r>
              <w:rPr>
                <w:rFonts w:ascii="仿宋_GB2312" w:hAnsi="Calibri" w:eastAsia="仿宋_GB2312" w:cs="宋体"/>
                <w:color w:val="000000"/>
                <w:sz w:val="24"/>
                <w:szCs w:val="24"/>
              </w:rPr>
              <w:t>2301202810 : 3.75%-4.25%</w:t>
            </w:r>
            <w:r>
              <w:rPr>
                <w:rFonts w:ascii="仿宋_GB2312" w:hAnsi="Calibri" w:eastAsia="仿宋_GB2312" w:cs="宋体"/>
                <w:color w:val="000000"/>
                <w:sz w:val="24"/>
                <w:szCs w:val="24"/>
              </w:rPr>
              <w:br w:type="textWrapping"/>
            </w:r>
            <w:r>
              <w:rPr>
                <w:rFonts w:ascii="仿宋_GB2312" w:hAnsi="Calibri" w:eastAsia="仿宋_GB2312" w:cs="宋体"/>
                <w:color w:val="000000"/>
                <w:sz w:val="24"/>
                <w:szCs w:val="24"/>
              </w:rPr>
              <w:t>2301202811 : 3.80%-4.30%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4219" w:type="dxa"/>
            <w:tcMar>
              <w:top w:w="0" w:type="dxa"/>
              <w:left w:w="108" w:type="dxa"/>
              <w:bottom w:w="0" w:type="dxa"/>
              <w:right w:w="108" w:type="dxa"/>
            </w:tcMar>
            <w:vAlign w:val="center"/>
          </w:tcPr>
          <w:p>
            <w:pPr>
              <w:adjustRightInd w:val="0"/>
              <w:snapToGrid w:val="0"/>
              <w:spacing w:line="360" w:lineRule="auto"/>
              <w:ind w:firstLine="480"/>
              <w:jc w:val="center"/>
              <w:rPr>
                <w:rFonts w:ascii="仿宋_GB2312" w:eastAsia="仿宋_GB2312" w:cs="宋体" w:hAnsiTheme="minorEastAsia"/>
                <w:sz w:val="24"/>
                <w:szCs w:val="24"/>
              </w:rPr>
            </w:pPr>
            <w:r>
              <w:rPr>
                <w:rFonts w:hint="eastAsia" w:ascii="仿宋_GB2312" w:eastAsia="仿宋_GB2312" w:hAnsiTheme="minorEastAsia"/>
                <w:kern w:val="0"/>
                <w:sz w:val="24"/>
                <w:szCs w:val="24"/>
              </w:rPr>
              <w:t>风险等级</w:t>
            </w:r>
          </w:p>
        </w:tc>
        <w:tc>
          <w:tcPr>
            <w:tcW w:w="4853" w:type="dxa"/>
            <w:tcMar>
              <w:top w:w="0" w:type="dxa"/>
              <w:left w:w="108" w:type="dxa"/>
              <w:bottom w:w="0" w:type="dxa"/>
              <w:right w:w="108" w:type="dxa"/>
            </w:tcMar>
            <w:vAlign w:val="center"/>
          </w:tcPr>
          <w:p>
            <w:pPr>
              <w:adjustRightInd w:val="0"/>
              <w:snapToGrid w:val="0"/>
              <w:spacing w:line="360" w:lineRule="auto"/>
              <w:jc w:val="center"/>
              <w:rPr>
                <w:rFonts w:ascii="仿宋_GB2312" w:eastAsia="仿宋_GB2312" w:cs="宋体" w:hAnsiTheme="minorEastAsia"/>
                <w:color w:val="000000"/>
                <w:sz w:val="24"/>
                <w:szCs w:val="24"/>
              </w:rPr>
            </w:pPr>
            <w:r>
              <w:rPr>
                <w:rFonts w:ascii="仿宋_GB2312" w:hAnsi="Calibri" w:eastAsia="仿宋_GB2312" w:cs="宋体"/>
                <w:color w:val="000000"/>
                <w:sz w:val="24"/>
                <w:szCs w:val="24"/>
              </w:rPr>
              <w:t>较低风险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4219" w:type="dxa"/>
            <w:tcMar>
              <w:top w:w="0" w:type="dxa"/>
              <w:left w:w="108" w:type="dxa"/>
              <w:bottom w:w="0" w:type="dxa"/>
              <w:right w:w="108" w:type="dxa"/>
            </w:tcMar>
            <w:vAlign w:val="center"/>
          </w:tcPr>
          <w:p>
            <w:pPr>
              <w:adjustRightInd w:val="0"/>
              <w:snapToGrid w:val="0"/>
              <w:spacing w:line="360" w:lineRule="auto"/>
              <w:ind w:firstLine="480"/>
              <w:jc w:val="center"/>
              <w:rPr>
                <w:rFonts w:ascii="仿宋_GB2312" w:eastAsia="仿宋_GB2312" w:cs="宋体" w:hAnsiTheme="minorEastAsia"/>
                <w:color w:val="000000" w:themeColor="text1"/>
                <w:sz w:val="24"/>
                <w:szCs w:val="24"/>
                <w14:textFill>
                  <w14:solidFill>
                    <w14:schemeClr w14:val="tx1"/>
                  </w14:solidFill>
                </w14:textFill>
              </w:rPr>
            </w:pPr>
            <w:r>
              <w:rPr>
                <w:rFonts w:hint="eastAsia" w:ascii="仿宋_GB2312" w:eastAsia="仿宋_GB2312" w:hAnsiTheme="minorEastAsia"/>
                <w:color w:val="000000" w:themeColor="text1"/>
                <w:kern w:val="0"/>
                <w:sz w:val="24"/>
                <w:szCs w:val="24"/>
                <w14:textFill>
                  <w14:solidFill>
                    <w14:schemeClr w14:val="tx1"/>
                  </w14:solidFill>
                </w14:textFill>
              </w:rPr>
              <w:t>产品管理人</w:t>
            </w:r>
          </w:p>
        </w:tc>
        <w:tc>
          <w:tcPr>
            <w:tcW w:w="4853" w:type="dxa"/>
            <w:tcMar>
              <w:top w:w="0" w:type="dxa"/>
              <w:left w:w="108" w:type="dxa"/>
              <w:bottom w:w="0" w:type="dxa"/>
              <w:right w:w="108" w:type="dxa"/>
            </w:tcMar>
            <w:vAlign w:val="center"/>
          </w:tcPr>
          <w:p>
            <w:pPr>
              <w:adjustRightInd w:val="0"/>
              <w:snapToGrid w:val="0"/>
              <w:spacing w:line="360" w:lineRule="auto"/>
              <w:ind w:firstLine="240" w:firstLineChars="100"/>
              <w:jc w:val="center"/>
              <w:rPr>
                <w:rFonts w:ascii="仿宋_GB2312" w:eastAsia="仿宋_GB2312" w:cs="宋体" w:hAnsiTheme="minorEastAsia"/>
                <w:color w:val="000000"/>
                <w:sz w:val="24"/>
                <w:szCs w:val="24"/>
              </w:rPr>
            </w:pPr>
            <w:r>
              <w:rPr>
                <w:rFonts w:hint="eastAsia" w:ascii="仿宋_GB2312" w:eastAsia="仿宋_GB2312" w:cs="宋体" w:hAnsiTheme="minorEastAsia"/>
                <w:color w:val="000000"/>
                <w:sz w:val="24"/>
                <w:szCs w:val="24"/>
              </w:rPr>
              <w:t>上海浦东发展银行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4219" w:type="dxa"/>
            <w:tcMar>
              <w:top w:w="0" w:type="dxa"/>
              <w:left w:w="108" w:type="dxa"/>
              <w:bottom w:w="0" w:type="dxa"/>
              <w:right w:w="108" w:type="dxa"/>
            </w:tcMar>
            <w:vAlign w:val="center"/>
          </w:tcPr>
          <w:p>
            <w:pPr>
              <w:adjustRightInd w:val="0"/>
              <w:snapToGrid w:val="0"/>
              <w:spacing w:line="360" w:lineRule="auto"/>
              <w:ind w:firstLine="480"/>
              <w:jc w:val="center"/>
              <w:rPr>
                <w:rFonts w:ascii="仿宋_GB2312" w:eastAsia="仿宋_GB2312" w:cs="宋体" w:hAnsiTheme="minorEastAsia"/>
                <w:color w:val="000000" w:themeColor="text1"/>
                <w:sz w:val="24"/>
                <w:szCs w:val="24"/>
                <w14:textFill>
                  <w14:solidFill>
                    <w14:schemeClr w14:val="tx1"/>
                  </w14:solidFill>
                </w14:textFill>
              </w:rPr>
            </w:pPr>
            <w:r>
              <w:rPr>
                <w:rFonts w:hint="eastAsia" w:ascii="仿宋_GB2312" w:eastAsia="仿宋_GB2312" w:hAnsiTheme="minorEastAsia"/>
                <w:color w:val="000000" w:themeColor="text1"/>
                <w:kern w:val="0"/>
                <w:sz w:val="24"/>
                <w:szCs w:val="24"/>
                <w14:textFill>
                  <w14:solidFill>
                    <w14:schemeClr w14:val="tx1"/>
                  </w14:solidFill>
                </w14:textFill>
              </w:rPr>
              <w:t>产品托管人</w:t>
            </w:r>
          </w:p>
        </w:tc>
        <w:tc>
          <w:tcPr>
            <w:tcW w:w="4853" w:type="dxa"/>
            <w:tcMar>
              <w:top w:w="0" w:type="dxa"/>
              <w:left w:w="108" w:type="dxa"/>
              <w:bottom w:w="0" w:type="dxa"/>
              <w:right w:w="108" w:type="dxa"/>
            </w:tcMar>
            <w:vAlign w:val="center"/>
          </w:tcPr>
          <w:p>
            <w:pPr>
              <w:adjustRightInd w:val="0"/>
              <w:snapToGrid w:val="0"/>
              <w:spacing w:line="360" w:lineRule="auto"/>
              <w:jc w:val="center"/>
              <w:rPr>
                <w:rFonts w:ascii="仿宋_GB2312" w:eastAsia="仿宋_GB2312" w:cs="宋体" w:hAnsiTheme="minorEastAsia"/>
                <w:color w:val="000000"/>
                <w:sz w:val="24"/>
                <w:szCs w:val="24"/>
              </w:rPr>
            </w:pPr>
            <w:r>
              <w:rPr>
                <w:rFonts w:hint="eastAsia" w:ascii="仿宋_GB2312" w:eastAsia="仿宋_GB2312" w:cs="宋体" w:hAnsiTheme="minorEastAsia"/>
                <w:color w:val="000000"/>
                <w:sz w:val="24"/>
                <w:szCs w:val="24"/>
              </w:rPr>
              <w:t xml:space="preserve">  上海浦东发展银行</w:t>
            </w:r>
          </w:p>
        </w:tc>
      </w:tr>
    </w:tbl>
    <w:p>
      <w:pPr>
        <w:rPr>
          <w:rFonts w:ascii="仿宋_GB2312" w:hAnsi="Calibri" w:eastAsia="仿宋_GB2312"/>
          <w:sz w:val="24"/>
          <w:szCs w:val="24"/>
        </w:rPr>
      </w:pPr>
    </w:p>
    <w:p>
      <w:pPr>
        <w:snapToGrid w:val="0"/>
        <w:spacing w:line="360" w:lineRule="auto"/>
        <w:rPr>
          <w:rFonts w:ascii="仿宋_GB2312" w:eastAsia="仿宋_GB2312"/>
          <w:b/>
          <w:sz w:val="24"/>
          <w:szCs w:val="24"/>
        </w:rPr>
      </w:pPr>
      <w:r>
        <w:rPr>
          <w:rFonts w:hint="eastAsia" w:ascii="仿宋_GB2312" w:eastAsia="仿宋_GB2312"/>
          <w:b/>
          <w:sz w:val="24"/>
          <w:szCs w:val="24"/>
        </w:rPr>
        <w:t>3</w:t>
      </w:r>
      <w:r>
        <w:rPr>
          <w:rFonts w:ascii="仿宋_GB2312" w:eastAsia="仿宋_GB2312"/>
          <w:b/>
          <w:sz w:val="24"/>
          <w:szCs w:val="24"/>
        </w:rPr>
        <w:t>.</w:t>
      </w:r>
      <w:r>
        <w:rPr>
          <w:rFonts w:hint="eastAsia" w:ascii="仿宋_GB2312" w:eastAsia="仿宋_GB2312"/>
          <w:b/>
          <w:sz w:val="24"/>
          <w:szCs w:val="24"/>
        </w:rPr>
        <w:t>产品净值表现</w:t>
      </w:r>
    </w:p>
    <w:p>
      <w:pPr>
        <w:snapToGrid w:val="0"/>
        <w:spacing w:line="360" w:lineRule="auto"/>
        <w:ind w:firstLine="482"/>
        <w:rPr>
          <w:rFonts w:ascii="仿宋_GB2312" w:eastAsia="仿宋_GB2312"/>
          <w:b/>
          <w:bCs/>
          <w:sz w:val="24"/>
          <w:szCs w:val="24"/>
        </w:rPr>
      </w:pPr>
      <w:r>
        <w:rPr>
          <w:rFonts w:hint="eastAsia" w:ascii="仿宋_GB2312" w:eastAsia="仿宋_GB2312"/>
          <w:b/>
          <w:bCs/>
          <w:sz w:val="24"/>
          <w:szCs w:val="24"/>
        </w:rPr>
        <w:t>3.1 净值表现</w:t>
      </w:r>
    </w:p>
    <w:p>
      <w:pPr>
        <w:snapToGrid w:val="0"/>
        <w:spacing w:line="360" w:lineRule="auto"/>
        <w:ind w:left="5143" w:hanging="5143"/>
        <w:rPr>
          <w:rFonts w:ascii="仿宋_GB2312" w:eastAsia="仿宋_GB2312"/>
          <w:sz w:val="24"/>
          <w:szCs w:val="24"/>
        </w:rPr>
      </w:pPr>
      <w:r>
        <w:rPr>
          <w:sz w:val="24"/>
          <w:szCs w:val="24"/>
        </w:rPr>
        <w:t>                                                                               单位：人民币(CNY)</w:t>
      </w:r>
    </w:p>
    <w:tbl>
      <w:tblPr>
        <w:tblStyle w:val="10"/>
        <w:tblW w:w="90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61"/>
        <w:gridCol w:w="4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61" w:type="dxa"/>
          </w:tcPr>
          <w:p>
            <w:pPr>
              <w:pStyle w:val="5"/>
              <w:snapToGrid w:val="0"/>
              <w:spacing w:before="0" w:beforeAutospacing="0" w:after="0" w:afterAutospacing="0" w:line="360" w:lineRule="auto"/>
              <w:ind w:firstLine="480" w:firstLineChars="200"/>
              <w:jc w:val="center"/>
              <w:rPr>
                <w:rFonts w:ascii="仿宋_GB2312" w:eastAsia="仿宋_GB2312"/>
                <w:kern w:val="2"/>
              </w:rPr>
            </w:pPr>
            <w:r>
              <w:rPr>
                <w:rFonts w:hint="eastAsia" w:ascii="仿宋_GB2312" w:eastAsia="仿宋_GB2312"/>
                <w:kern w:val="2"/>
              </w:rPr>
              <w:t>产品净值表现</w:t>
            </w:r>
          </w:p>
        </w:tc>
        <w:tc>
          <w:tcPr>
            <w:tcW w:w="4711" w:type="dxa"/>
          </w:tcPr>
          <w:p>
            <w:pPr>
              <w:snapToGrid w:val="0"/>
              <w:spacing w:line="360" w:lineRule="auto"/>
              <w:ind w:firstLine="480" w:firstLineChars="200"/>
              <w:jc w:val="center"/>
              <w:rPr>
                <w:rFonts w:ascii="仿宋_GB2312" w:hAnsi="Calibri" w:eastAsia="仿宋_GB2312" w:cs="宋体"/>
                <w:color w:val="000000"/>
                <w:kern w:val="0"/>
                <w:sz w:val="24"/>
                <w:szCs w:val="24"/>
              </w:rPr>
            </w:pPr>
            <w:r>
              <w:rPr>
                <w:rFonts w:hint="eastAsia" w:ascii="仿宋_GB2312" w:eastAsia="仿宋_GB2312"/>
                <w:color w:val="000000"/>
                <w:kern w:val="0"/>
                <w:sz w:val="24"/>
                <w:szCs w:val="24"/>
              </w:rPr>
              <w:t>报告期（2021-0</w:t>
            </w:r>
            <w:r>
              <w:rPr>
                <w:rFonts w:hint="eastAsia" w:ascii="仿宋_GB2312" w:eastAsia="仿宋_GB2312"/>
                <w:color w:val="000000"/>
                <w:kern w:val="0"/>
                <w:sz w:val="24"/>
                <w:szCs w:val="24"/>
                <w:lang w:val="en-US" w:eastAsia="zh-CN"/>
              </w:rPr>
              <w:t>4</w:t>
            </w:r>
            <w:r>
              <w:rPr>
                <w:rFonts w:hint="eastAsia" w:ascii="仿宋_GB2312" w:eastAsia="仿宋_GB2312"/>
                <w:color w:val="000000"/>
                <w:kern w:val="0"/>
                <w:sz w:val="24"/>
                <w:szCs w:val="24"/>
              </w:rPr>
              <w:t>-01至</w:t>
            </w:r>
            <w:bookmarkStart w:id="0" w:name="_GoBack"/>
            <w:bookmarkEnd w:id="0"/>
            <w:r>
              <w:rPr>
                <w:rFonts w:hint="eastAsia" w:ascii="仿宋_GB2312" w:eastAsia="仿宋_GB2312"/>
                <w:color w:val="000000"/>
                <w:kern w:val="0"/>
                <w:sz w:val="24"/>
                <w:szCs w:val="24"/>
              </w:rPr>
              <w:t>2021-06-30）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61" w:type="dxa"/>
          </w:tcPr>
          <w:p>
            <w:pPr>
              <w:pStyle w:val="5"/>
              <w:snapToGrid w:val="0"/>
              <w:spacing w:before="0" w:beforeAutospacing="0" w:after="0" w:afterAutospacing="0" w:line="360" w:lineRule="auto"/>
              <w:ind w:firstLine="480" w:firstLineChars="200"/>
              <w:rPr>
                <w:rFonts w:ascii="仿宋_GB2312" w:eastAsia="仿宋_GB2312"/>
                <w:kern w:val="2"/>
              </w:rPr>
            </w:pPr>
            <w:r>
              <w:rPr>
                <w:rFonts w:hint="eastAsia" w:ascii="仿宋_GB2312" w:eastAsia="仿宋_GB2312"/>
                <w:kern w:val="2"/>
              </w:rPr>
              <w:t>1.期末产品资产净值</w:t>
            </w:r>
          </w:p>
        </w:tc>
        <w:tc>
          <w:tcPr>
            <w:tcW w:w="4711" w:type="dxa"/>
          </w:tcPr>
          <w:p>
            <w:pPr>
              <w:snapToGrid w:val="0"/>
              <w:spacing w:line="360" w:lineRule="auto"/>
              <w:jc w:val="left"/>
              <w:rPr>
                <w:rFonts w:ascii="仿宋_GB2312" w:hAnsi="Calibri" w:eastAsia="仿宋_GB2312" w:cs="宋体"/>
                <w:color w:val="000000"/>
                <w:kern w:val="0"/>
                <w:sz w:val="24"/>
                <w:szCs w:val="24"/>
              </w:rPr>
            </w:pPr>
            <w:r>
              <w:rPr>
                <w:rFonts w:ascii="仿宋_GB2312" w:hAnsi="Calibri" w:eastAsia="仿宋_GB2312" w:cs="宋体"/>
                <w:color w:val="000000"/>
                <w:kern w:val="0"/>
                <w:sz w:val="24"/>
                <w:szCs w:val="24"/>
              </w:rPr>
              <w:t>2301202808 : 1,239,501,841.07</w:t>
            </w:r>
            <w:r>
              <w:rPr>
                <w:rFonts w:ascii="仿宋_GB2312" w:hAnsi="Calibri" w:eastAsia="仿宋_GB2312" w:cs="宋体"/>
                <w:color w:val="000000"/>
                <w:kern w:val="0"/>
                <w:sz w:val="24"/>
                <w:szCs w:val="24"/>
              </w:rPr>
              <w:br w:type="textWrapping"/>
            </w:r>
            <w:r>
              <w:rPr>
                <w:rFonts w:ascii="仿宋_GB2312" w:hAnsi="Calibri" w:eastAsia="仿宋_GB2312" w:cs="宋体"/>
                <w:color w:val="000000"/>
                <w:kern w:val="0"/>
                <w:sz w:val="24"/>
                <w:szCs w:val="24"/>
              </w:rPr>
              <w:t>2301202809 : 67,222,660.88</w:t>
            </w:r>
            <w:r>
              <w:rPr>
                <w:rFonts w:ascii="仿宋_GB2312" w:hAnsi="Calibri" w:eastAsia="仿宋_GB2312" w:cs="宋体"/>
                <w:color w:val="000000"/>
                <w:kern w:val="0"/>
                <w:sz w:val="24"/>
                <w:szCs w:val="24"/>
              </w:rPr>
              <w:br w:type="textWrapping"/>
            </w:r>
            <w:r>
              <w:rPr>
                <w:rFonts w:ascii="仿宋_GB2312" w:hAnsi="Calibri" w:eastAsia="仿宋_GB2312" w:cs="宋体"/>
                <w:color w:val="000000"/>
                <w:kern w:val="0"/>
                <w:sz w:val="24"/>
                <w:szCs w:val="24"/>
              </w:rPr>
              <w:t>2301202810 : 77,580,901.78</w:t>
            </w:r>
            <w:r>
              <w:rPr>
                <w:rFonts w:ascii="仿宋_GB2312" w:hAnsi="Calibri" w:eastAsia="仿宋_GB2312" w:cs="宋体"/>
                <w:color w:val="000000"/>
                <w:kern w:val="0"/>
                <w:sz w:val="24"/>
                <w:szCs w:val="24"/>
              </w:rPr>
              <w:br w:type="textWrapping"/>
            </w:r>
            <w:r>
              <w:rPr>
                <w:rFonts w:ascii="仿宋_GB2312" w:hAnsi="Calibri" w:eastAsia="仿宋_GB2312" w:cs="宋体"/>
                <w:color w:val="000000"/>
                <w:kern w:val="0"/>
                <w:sz w:val="24"/>
                <w:szCs w:val="24"/>
              </w:rPr>
              <w:t>2301202811 : 2,040,702,529.33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4361" w:type="dxa"/>
          </w:tcPr>
          <w:p>
            <w:pPr>
              <w:pStyle w:val="5"/>
              <w:snapToGrid w:val="0"/>
              <w:spacing w:before="0" w:beforeAutospacing="0" w:after="0" w:afterAutospacing="0" w:line="360" w:lineRule="auto"/>
              <w:ind w:firstLine="480" w:firstLineChars="200"/>
              <w:rPr>
                <w:rFonts w:ascii="仿宋_GB2312" w:eastAsia="仿宋_GB2312"/>
                <w:kern w:val="2"/>
              </w:rPr>
            </w:pPr>
            <w:r>
              <w:rPr>
                <w:rFonts w:hint="eastAsia" w:ascii="仿宋_GB2312" w:eastAsia="仿宋_GB2312"/>
                <w:kern w:val="2"/>
              </w:rPr>
              <w:t>2.期末产品份额净值</w:t>
            </w:r>
          </w:p>
        </w:tc>
        <w:tc>
          <w:tcPr>
            <w:tcW w:w="4711" w:type="dxa"/>
          </w:tcPr>
          <w:p>
            <w:pPr>
              <w:adjustRightInd w:val="0"/>
              <w:snapToGrid w:val="0"/>
              <w:spacing w:line="360" w:lineRule="auto"/>
              <w:jc w:val="left"/>
              <w:rPr>
                <w:rFonts w:ascii="仿宋_GB2312" w:eastAsia="仿宋_GB2312" w:hAnsiTheme="minorEastAsia"/>
                <w:color w:val="000000"/>
                <w:kern w:val="0"/>
                <w:sz w:val="24"/>
                <w:szCs w:val="24"/>
              </w:rPr>
            </w:pPr>
            <w:r>
              <w:rPr>
                <w:rFonts w:ascii="仿宋_GB2312" w:hAnsi="Calibri" w:eastAsia="仿宋_GB2312" w:cs="宋体"/>
                <w:color w:val="000000"/>
                <w:kern w:val="0"/>
                <w:sz w:val="24"/>
                <w:szCs w:val="24"/>
              </w:rPr>
              <w:t>2301202808 : 1.0421</w:t>
            </w:r>
            <w:r>
              <w:rPr>
                <w:rFonts w:ascii="仿宋_GB2312" w:hAnsi="Calibri" w:eastAsia="仿宋_GB2312" w:cs="宋体"/>
                <w:color w:val="000000"/>
                <w:kern w:val="0"/>
                <w:sz w:val="24"/>
                <w:szCs w:val="24"/>
              </w:rPr>
              <w:br w:type="textWrapping"/>
            </w:r>
            <w:r>
              <w:rPr>
                <w:rFonts w:ascii="仿宋_GB2312" w:hAnsi="Calibri" w:eastAsia="仿宋_GB2312" w:cs="宋体"/>
                <w:color w:val="000000"/>
                <w:kern w:val="0"/>
                <w:sz w:val="24"/>
                <w:szCs w:val="24"/>
              </w:rPr>
              <w:t>2301202809 : 1.0425</w:t>
            </w:r>
            <w:r>
              <w:rPr>
                <w:rFonts w:ascii="仿宋_GB2312" w:hAnsi="Calibri" w:eastAsia="仿宋_GB2312" w:cs="宋体"/>
                <w:color w:val="000000"/>
                <w:kern w:val="0"/>
                <w:sz w:val="24"/>
                <w:szCs w:val="24"/>
              </w:rPr>
              <w:br w:type="textWrapping"/>
            </w:r>
            <w:r>
              <w:rPr>
                <w:rFonts w:ascii="仿宋_GB2312" w:hAnsi="Calibri" w:eastAsia="仿宋_GB2312" w:cs="宋体"/>
                <w:color w:val="000000"/>
                <w:kern w:val="0"/>
                <w:sz w:val="24"/>
                <w:szCs w:val="24"/>
              </w:rPr>
              <w:t>2301202810 : 1.1094</w:t>
            </w:r>
            <w:r>
              <w:rPr>
                <w:rFonts w:ascii="仿宋_GB2312" w:hAnsi="Calibri" w:eastAsia="仿宋_GB2312" w:cs="宋体"/>
                <w:color w:val="000000"/>
                <w:kern w:val="0"/>
                <w:sz w:val="24"/>
                <w:szCs w:val="24"/>
              </w:rPr>
              <w:br w:type="textWrapping"/>
            </w:r>
            <w:r>
              <w:rPr>
                <w:rFonts w:ascii="仿宋_GB2312" w:hAnsi="Calibri" w:eastAsia="仿宋_GB2312" w:cs="宋体"/>
                <w:color w:val="000000"/>
                <w:kern w:val="0"/>
                <w:sz w:val="24"/>
                <w:szCs w:val="24"/>
              </w:rPr>
              <w:t>2301202811 : 1.0428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4361" w:type="dxa"/>
          </w:tcPr>
          <w:p>
            <w:pPr>
              <w:pStyle w:val="5"/>
              <w:snapToGrid w:val="0"/>
              <w:spacing w:before="0" w:beforeAutospacing="0" w:after="0" w:afterAutospacing="0" w:line="360" w:lineRule="auto"/>
              <w:ind w:firstLine="480" w:firstLineChars="200"/>
              <w:rPr>
                <w:rFonts w:ascii="仿宋_GB2312" w:eastAsia="仿宋_GB2312"/>
                <w:kern w:val="2"/>
              </w:rPr>
            </w:pPr>
            <w:r>
              <w:rPr>
                <w:rFonts w:hint="eastAsia" w:ascii="仿宋_GB2312" w:eastAsia="仿宋_GB2312"/>
                <w:kern w:val="2"/>
              </w:rPr>
              <w:t>3.期末产品份额累计净值</w:t>
            </w:r>
          </w:p>
        </w:tc>
        <w:tc>
          <w:tcPr>
            <w:tcW w:w="4711" w:type="dxa"/>
          </w:tcPr>
          <w:p>
            <w:pPr>
              <w:adjustRightInd w:val="0"/>
              <w:snapToGrid w:val="0"/>
              <w:spacing w:line="360" w:lineRule="auto"/>
              <w:jc w:val="left"/>
              <w:rPr>
                <w:rFonts w:ascii="仿宋_GB2312" w:eastAsia="仿宋_GB2312" w:hAnsiTheme="minorEastAsia"/>
                <w:color w:val="000000"/>
                <w:kern w:val="0"/>
                <w:sz w:val="24"/>
                <w:szCs w:val="24"/>
              </w:rPr>
            </w:pPr>
            <w:r>
              <w:rPr>
                <w:rFonts w:ascii="仿宋_GB2312" w:hAnsi="Calibri" w:eastAsia="仿宋_GB2312" w:cs="宋体"/>
                <w:color w:val="000000"/>
                <w:kern w:val="0"/>
                <w:sz w:val="24"/>
                <w:szCs w:val="24"/>
              </w:rPr>
              <w:t>2301202808 : 1.0421</w:t>
            </w:r>
            <w:r>
              <w:rPr>
                <w:rFonts w:ascii="仿宋_GB2312" w:hAnsi="Calibri" w:eastAsia="仿宋_GB2312" w:cs="宋体"/>
                <w:color w:val="000000"/>
                <w:kern w:val="0"/>
                <w:sz w:val="24"/>
                <w:szCs w:val="24"/>
              </w:rPr>
              <w:br w:type="textWrapping"/>
            </w:r>
            <w:r>
              <w:rPr>
                <w:rFonts w:ascii="仿宋_GB2312" w:hAnsi="Calibri" w:eastAsia="仿宋_GB2312" w:cs="宋体"/>
                <w:color w:val="000000"/>
                <w:kern w:val="0"/>
                <w:sz w:val="24"/>
                <w:szCs w:val="24"/>
              </w:rPr>
              <w:t>2301202809 : 1.0425</w:t>
            </w:r>
            <w:r>
              <w:rPr>
                <w:rFonts w:ascii="仿宋_GB2312" w:hAnsi="Calibri" w:eastAsia="仿宋_GB2312" w:cs="宋体"/>
                <w:color w:val="000000"/>
                <w:kern w:val="0"/>
                <w:sz w:val="24"/>
                <w:szCs w:val="24"/>
              </w:rPr>
              <w:br w:type="textWrapping"/>
            </w:r>
            <w:r>
              <w:rPr>
                <w:rFonts w:ascii="仿宋_GB2312" w:hAnsi="Calibri" w:eastAsia="仿宋_GB2312" w:cs="宋体"/>
                <w:color w:val="000000"/>
                <w:kern w:val="0"/>
                <w:sz w:val="24"/>
                <w:szCs w:val="24"/>
              </w:rPr>
              <w:t>2301202810 : 1.1094</w:t>
            </w:r>
            <w:r>
              <w:rPr>
                <w:rFonts w:ascii="仿宋_GB2312" w:hAnsi="Calibri" w:eastAsia="仿宋_GB2312" w:cs="宋体"/>
                <w:color w:val="000000"/>
                <w:kern w:val="0"/>
                <w:sz w:val="24"/>
                <w:szCs w:val="24"/>
              </w:rPr>
              <w:br w:type="textWrapping"/>
            </w:r>
            <w:r>
              <w:rPr>
                <w:rFonts w:ascii="仿宋_GB2312" w:hAnsi="Calibri" w:eastAsia="仿宋_GB2312" w:cs="宋体"/>
                <w:color w:val="000000"/>
                <w:kern w:val="0"/>
                <w:sz w:val="24"/>
                <w:szCs w:val="24"/>
              </w:rPr>
              <w:t>2301202811 : 1.0428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4361" w:type="dxa"/>
          </w:tcPr>
          <w:p>
            <w:pPr>
              <w:pStyle w:val="5"/>
              <w:snapToGrid w:val="0"/>
              <w:spacing w:before="0" w:beforeAutospacing="0" w:after="0" w:afterAutospacing="0" w:line="360" w:lineRule="auto"/>
              <w:ind w:firstLine="480" w:firstLineChars="200"/>
              <w:rPr>
                <w:rFonts w:ascii="仿宋_GB2312" w:eastAsia="仿宋_GB2312"/>
                <w:kern w:val="2"/>
              </w:rPr>
            </w:pPr>
            <w:r>
              <w:rPr>
                <w:rFonts w:hint="eastAsia" w:ascii="仿宋_GB2312" w:eastAsia="仿宋_GB2312"/>
                <w:kern w:val="2"/>
              </w:rPr>
              <w:t>4</w:t>
            </w:r>
            <w:r>
              <w:rPr>
                <w:rFonts w:ascii="仿宋_GB2312" w:eastAsia="仿宋_GB2312"/>
                <w:kern w:val="2"/>
              </w:rPr>
              <w:t>.</w:t>
            </w:r>
            <w:r>
              <w:rPr>
                <w:rFonts w:hint="eastAsia" w:ascii="仿宋_GB2312" w:eastAsia="仿宋_GB2312"/>
                <w:kern w:val="2"/>
              </w:rPr>
              <w:t>每万份收益</w:t>
            </w:r>
          </w:p>
        </w:tc>
        <w:tc>
          <w:tcPr>
            <w:tcW w:w="4711" w:type="dxa"/>
          </w:tcPr>
          <w:p>
            <w:pPr>
              <w:snapToGrid w:val="0"/>
              <w:spacing w:line="360" w:lineRule="auto"/>
              <w:jc w:val="left"/>
              <w:rPr>
                <w:rFonts w:ascii="仿宋_GB2312" w:eastAsia="仿宋_GB2312"/>
                <w:color w:val="000000"/>
                <w:kern w:val="0"/>
                <w:sz w:val="24"/>
                <w:szCs w:val="24"/>
              </w:rPr>
            </w:pPr>
            <w:r>
              <w:rPr>
                <w:rFonts w:ascii="仿宋_GB2312" w:hAnsi="Calibri" w:eastAsia="仿宋_GB2312" w:cs="宋体"/>
                <w:color w:val="000000"/>
                <w:kern w:val="0"/>
                <w:sz w:val="24"/>
                <w:szCs w:val="24"/>
              </w:rPr>
              <w:t>-</w:t>
            </w:r>
          </w:p>
        </w:tc>
      </w:tr>
    </w:tbl>
    <w:tbl>
      <w:tblPr>
        <w:tblStyle w:val="9"/>
        <w:tblW w:w="9072" w:type="dxa"/>
        <w:tblInd w:w="0" w:type="dxa"/>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361"/>
        <w:gridCol w:w="4711"/>
      </w:tblGrid>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58" w:hRule="atLeast"/>
        </w:trPr>
        <w:tc>
          <w:tcPr>
            <w:tcW w:w="4361" w:type="dxa"/>
            <w:tcMar>
              <w:top w:w="0" w:type="dxa"/>
              <w:left w:w="108" w:type="dxa"/>
              <w:bottom w:w="0" w:type="dxa"/>
              <w:right w:w="108" w:type="dxa"/>
            </w:tcMar>
          </w:tcPr>
          <w:p>
            <w:pPr>
              <w:pStyle w:val="5"/>
              <w:snapToGrid w:val="0"/>
              <w:spacing w:before="0" w:beforeAutospacing="0" w:after="0" w:afterAutospacing="0" w:line="360" w:lineRule="auto"/>
              <w:ind w:firstLine="480" w:firstLineChars="200"/>
              <w:rPr>
                <w:rFonts w:ascii="仿宋_GB2312" w:eastAsia="仿宋_GB2312"/>
                <w:kern w:val="2"/>
              </w:rPr>
            </w:pPr>
            <w:r>
              <w:rPr>
                <w:rFonts w:hint="eastAsia" w:ascii="仿宋_GB2312" w:eastAsia="仿宋_GB2312"/>
                <w:kern w:val="2"/>
              </w:rPr>
              <w:t>5</w:t>
            </w:r>
            <w:r>
              <w:rPr>
                <w:rFonts w:ascii="仿宋_GB2312" w:eastAsia="仿宋_GB2312"/>
                <w:kern w:val="2"/>
              </w:rPr>
              <w:t>.</w:t>
            </w:r>
            <w:r>
              <w:rPr>
                <w:rFonts w:hint="eastAsia" w:ascii="仿宋_GB2312" w:eastAsia="仿宋_GB2312"/>
                <w:kern w:val="2"/>
              </w:rPr>
              <w:t>七日年化收益率</w:t>
            </w:r>
          </w:p>
        </w:tc>
        <w:tc>
          <w:tcPr>
            <w:tcW w:w="4711" w:type="dxa"/>
            <w:tcMar>
              <w:top w:w="0" w:type="dxa"/>
              <w:left w:w="108" w:type="dxa"/>
              <w:bottom w:w="0" w:type="dxa"/>
              <w:right w:w="108" w:type="dxa"/>
            </w:tcMar>
          </w:tcPr>
          <w:p>
            <w:pPr>
              <w:snapToGrid w:val="0"/>
              <w:spacing w:line="360" w:lineRule="auto"/>
              <w:jc w:val="left"/>
              <w:rPr>
                <w:rFonts w:ascii="仿宋_GB2312" w:eastAsia="仿宋_GB2312"/>
                <w:color w:val="000000"/>
                <w:sz w:val="24"/>
                <w:szCs w:val="24"/>
              </w:rPr>
            </w:pPr>
            <w:r>
              <w:rPr>
                <w:rFonts w:ascii="仿宋_GB2312" w:hAnsi="Calibri" w:eastAsia="仿宋_GB2312" w:cs="宋体"/>
                <w:color w:val="000000"/>
                <w:sz w:val="24"/>
                <w:szCs w:val="24"/>
              </w:rPr>
              <w:t>-</w:t>
            </w:r>
          </w:p>
        </w:tc>
      </w:tr>
    </w:tbl>
    <w:p>
      <w:pPr>
        <w:snapToGrid w:val="0"/>
        <w:spacing w:line="360" w:lineRule="auto"/>
        <w:rPr>
          <w:rFonts w:ascii="仿宋_GB2312" w:eastAsia="仿宋_GB2312"/>
          <w:b/>
          <w:sz w:val="24"/>
          <w:szCs w:val="24"/>
        </w:rPr>
      </w:pPr>
      <w:r>
        <w:rPr>
          <w:rFonts w:hint="eastAsia" w:ascii="仿宋_GB2312" w:eastAsia="仿宋_GB2312"/>
          <w:b/>
          <w:sz w:val="24"/>
          <w:szCs w:val="24"/>
        </w:rPr>
        <w:t>4.投资组合报告</w:t>
      </w:r>
    </w:p>
    <w:p>
      <w:pPr>
        <w:spacing w:line="360" w:lineRule="auto"/>
        <w:ind w:firstLine="482"/>
        <w:rPr>
          <w:rFonts w:ascii="仿宋_GB2312" w:eastAsia="仿宋_GB2312"/>
          <w:b/>
          <w:bCs/>
          <w:sz w:val="24"/>
          <w:szCs w:val="24"/>
        </w:rPr>
      </w:pPr>
      <w:r>
        <w:rPr>
          <w:rFonts w:hint="eastAsia" w:ascii="仿宋_GB2312" w:eastAsia="仿宋_GB2312"/>
          <w:b/>
          <w:bCs/>
          <w:sz w:val="24"/>
          <w:szCs w:val="24"/>
        </w:rPr>
        <w:t>4.1 报告期末产品资产组合情况</w:t>
      </w:r>
    </w:p>
    <w:p>
      <w:pPr>
        <w:rPr>
          <w:rFonts w:ascii="仿宋_GB2312" w:hAnsi="Calibri" w:eastAsia="仿宋_GB2312"/>
          <w:sz w:val="24"/>
          <w:szCs w:val="24"/>
        </w:rPr>
      </w:pPr>
    </w:p>
    <w:tbl>
      <w:tblPr>
        <w:tblStyle w:val="9"/>
        <w:tblW w:w="90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81"/>
        <w:gridCol w:w="2620"/>
        <w:gridCol w:w="2694"/>
        <w:gridCol w:w="24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15" w:hRule="atLeast"/>
        </w:trPr>
        <w:tc>
          <w:tcPr>
            <w:tcW w:w="1281" w:type="dxa"/>
            <w:vAlign w:val="center"/>
          </w:tcPr>
          <w:p>
            <w:pPr>
              <w:adjustRightInd w:val="0"/>
              <w:snapToGrid w:val="0"/>
              <w:spacing w:line="360" w:lineRule="auto"/>
              <w:jc w:val="center"/>
              <w:rPr>
                <w:rFonts w:ascii="仿宋_GB2312" w:eastAsia="仿宋_GB2312" w:hAnsiTheme="minorEastAsia"/>
                <w:sz w:val="24"/>
                <w:szCs w:val="24"/>
              </w:rPr>
            </w:pPr>
            <w:r>
              <w:rPr>
                <w:rFonts w:hint="eastAsia" w:ascii="仿宋_GB2312" w:eastAsia="仿宋_GB2312" w:hAnsiTheme="minorEastAsia"/>
                <w:sz w:val="24"/>
                <w:szCs w:val="24"/>
              </w:rPr>
              <w:t>序号</w:t>
            </w:r>
          </w:p>
        </w:tc>
        <w:tc>
          <w:tcPr>
            <w:tcW w:w="2620" w:type="dxa"/>
            <w:vAlign w:val="center"/>
          </w:tcPr>
          <w:p>
            <w:pPr>
              <w:adjustRightInd w:val="0"/>
              <w:snapToGrid w:val="0"/>
              <w:spacing w:line="360" w:lineRule="auto"/>
              <w:jc w:val="center"/>
              <w:rPr>
                <w:rFonts w:ascii="仿宋_GB2312" w:eastAsia="仿宋_GB2312" w:hAnsiTheme="minorEastAsia"/>
                <w:sz w:val="24"/>
                <w:szCs w:val="24"/>
              </w:rPr>
            </w:pPr>
            <w:r>
              <w:rPr>
                <w:rFonts w:ascii="仿宋_GB2312" w:eastAsia="仿宋_GB2312" w:hAnsiTheme="minorEastAsia"/>
                <w:sz w:val="24"/>
                <w:szCs w:val="24"/>
              </w:rPr>
              <w:t>项目</w:t>
            </w:r>
          </w:p>
        </w:tc>
        <w:tc>
          <w:tcPr>
            <w:tcW w:w="2694" w:type="dxa"/>
            <w:vAlign w:val="center"/>
          </w:tcPr>
          <w:p>
            <w:pPr>
              <w:adjustRightInd w:val="0"/>
              <w:snapToGrid w:val="0"/>
              <w:spacing w:line="360" w:lineRule="auto"/>
              <w:jc w:val="center"/>
              <w:rPr>
                <w:rFonts w:ascii="仿宋_GB2312" w:eastAsia="仿宋_GB2312" w:hAnsiTheme="minorEastAsia"/>
                <w:sz w:val="24"/>
                <w:szCs w:val="24"/>
              </w:rPr>
            </w:pPr>
            <w:r>
              <w:rPr>
                <w:rFonts w:ascii="仿宋_GB2312" w:eastAsia="仿宋_GB2312" w:hAnsiTheme="minorEastAsia"/>
                <w:sz w:val="24"/>
                <w:szCs w:val="24"/>
              </w:rPr>
              <w:t>金额（元）</w:t>
            </w:r>
          </w:p>
        </w:tc>
        <w:tc>
          <w:tcPr>
            <w:tcW w:w="2477" w:type="dxa"/>
            <w:vAlign w:val="center"/>
          </w:tcPr>
          <w:p>
            <w:pPr>
              <w:adjustRightInd w:val="0"/>
              <w:snapToGrid w:val="0"/>
              <w:spacing w:line="360" w:lineRule="auto"/>
              <w:jc w:val="center"/>
              <w:rPr>
                <w:rFonts w:ascii="仿宋_GB2312" w:eastAsia="仿宋_GB2312" w:hAnsiTheme="minorEastAsia"/>
                <w:sz w:val="24"/>
                <w:szCs w:val="24"/>
              </w:rPr>
            </w:pPr>
            <w:r>
              <w:rPr>
                <w:rFonts w:hint="eastAsia" w:ascii="仿宋_GB2312" w:eastAsia="仿宋_GB2312" w:hAnsiTheme="minorEastAsia"/>
                <w:sz w:val="24"/>
                <w:szCs w:val="24"/>
              </w:rPr>
              <w:t>占产品资产净值比例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trPr>
        <w:tc>
          <w:tcPr>
            <w:tcW w:w="1281" w:type="dxa"/>
            <w:vAlign w:val="center"/>
          </w:tcPr>
          <w:p>
            <w:pPr>
              <w:adjustRightInd w:val="0"/>
              <w:snapToGrid w:val="0"/>
              <w:spacing w:line="360" w:lineRule="auto"/>
              <w:jc w:val="center"/>
              <w:rPr>
                <w:rFonts w:ascii="仿宋_GB2312" w:eastAsia="仿宋_GB2312" w:hAnsiTheme="minorEastAsia"/>
                <w:sz w:val="24"/>
                <w:szCs w:val="24"/>
              </w:rPr>
            </w:pPr>
            <w:r>
              <w:rPr>
                <w:rFonts w:ascii="仿宋_GB2312" w:hAnsi="Calibri" w:eastAsia="仿宋_GB2312" w:cs="宋体"/>
                <w:color w:val="000000"/>
                <w:sz w:val="24"/>
                <w:szCs w:val="24"/>
              </w:rPr>
              <w:t>1</w:t>
            </w:r>
          </w:p>
        </w:tc>
        <w:tc>
          <w:tcPr>
            <w:tcW w:w="2620" w:type="dxa"/>
            <w:vAlign w:val="center"/>
          </w:tcPr>
          <w:p>
            <w:pPr>
              <w:adjustRightInd w:val="0"/>
              <w:snapToGrid w:val="0"/>
              <w:spacing w:line="360" w:lineRule="auto"/>
              <w:jc w:val="center"/>
              <w:rPr>
                <w:rFonts w:ascii="仿宋_GB2312" w:eastAsia="仿宋_GB2312" w:hAnsiTheme="minorEastAsia"/>
                <w:sz w:val="24"/>
                <w:szCs w:val="24"/>
              </w:rPr>
            </w:pPr>
            <w:r>
              <w:rPr>
                <w:rFonts w:ascii="仿宋_GB2312" w:hAnsi="Calibri" w:eastAsia="仿宋_GB2312" w:cs="宋体"/>
                <w:color w:val="000000"/>
                <w:sz w:val="24"/>
                <w:szCs w:val="24"/>
              </w:rPr>
              <w:t>银行存款</w:t>
            </w:r>
          </w:p>
        </w:tc>
        <w:tc>
          <w:tcPr>
            <w:tcW w:w="2694" w:type="dxa"/>
            <w:vAlign w:val="center"/>
          </w:tcPr>
          <w:p>
            <w:pPr>
              <w:adjustRightInd w:val="0"/>
              <w:snapToGrid w:val="0"/>
              <w:spacing w:line="360" w:lineRule="auto"/>
              <w:jc w:val="center"/>
              <w:rPr>
                <w:rFonts w:ascii="仿宋_GB2312" w:eastAsia="仿宋_GB2312" w:hAnsiTheme="minorEastAsia"/>
                <w:sz w:val="24"/>
                <w:szCs w:val="24"/>
              </w:rPr>
            </w:pPr>
            <w:r>
              <w:rPr>
                <w:rFonts w:ascii="仿宋_GB2312" w:hAnsi="Calibri" w:eastAsia="仿宋_GB2312" w:cs="宋体"/>
                <w:color w:val="000000"/>
                <w:sz w:val="24"/>
                <w:szCs w:val="24"/>
              </w:rPr>
              <w:t>25,331,765.83</w:t>
            </w:r>
          </w:p>
        </w:tc>
        <w:tc>
          <w:tcPr>
            <w:tcW w:w="2477" w:type="dxa"/>
            <w:vAlign w:val="center"/>
          </w:tcPr>
          <w:p>
            <w:pPr>
              <w:adjustRightInd w:val="0"/>
              <w:snapToGrid w:val="0"/>
              <w:spacing w:line="360" w:lineRule="auto"/>
              <w:jc w:val="center"/>
              <w:rPr>
                <w:rFonts w:ascii="仿宋_GB2312" w:eastAsia="仿宋_GB2312" w:hAnsiTheme="minorEastAsia"/>
                <w:sz w:val="24"/>
                <w:szCs w:val="24"/>
              </w:rPr>
            </w:pPr>
            <w:r>
              <w:rPr>
                <w:rFonts w:ascii="仿宋_GB2312" w:hAnsi="Calibri" w:eastAsia="仿宋_GB2312" w:cs="宋体"/>
                <w:color w:val="000000"/>
                <w:sz w:val="24"/>
                <w:szCs w:val="24"/>
              </w:rPr>
              <w:t>0.74%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1281" w:type="dxa"/>
            <w:vAlign w:val="center"/>
          </w:tcPr>
          <w:p>
            <w:pPr>
              <w:jc w:val="center"/>
              <w:textAlignment w:val="auto"/>
            </w:pPr>
            <w:r>
              <w:rPr>
                <w:rFonts w:ascii="Times New Roman" w:hAnsi="Times New Roman" w:eastAsia="Times New Roman" w:cs="Times New Roman"/>
                <w:b w:val="0"/>
                <w:i w:val="0"/>
                <w:color w:val="000000"/>
                <w:sz w:val="24"/>
                <w:u w:val="none"/>
              </w:rPr>
              <w:t>2</w:t>
            </w:r>
          </w:p>
        </w:tc>
        <w:tc>
          <w:tcPr>
            <w:tcW w:w="2620" w:type="dxa"/>
            <w:vAlign w:val="center"/>
          </w:tcPr>
          <w:p>
            <w:pPr>
              <w:jc w:val="center"/>
              <w:textAlignment w:val="auto"/>
            </w:pPr>
            <w:r>
              <w:rPr>
                <w:rFonts w:ascii="Times New Roman" w:hAnsi="Times New Roman" w:eastAsia="Times New Roman" w:cs="Times New Roman"/>
                <w:b w:val="0"/>
                <w:i w:val="0"/>
                <w:color w:val="000000"/>
                <w:sz w:val="24"/>
                <w:u w:val="none"/>
              </w:rPr>
              <w:t>债券投资</w:t>
            </w:r>
          </w:p>
        </w:tc>
        <w:tc>
          <w:tcPr>
            <w:tcW w:w="2694" w:type="dxa"/>
            <w:vAlign w:val="center"/>
          </w:tcPr>
          <w:p>
            <w:pPr>
              <w:jc w:val="center"/>
              <w:textAlignment w:val="auto"/>
            </w:pPr>
            <w:r>
              <w:rPr>
                <w:rFonts w:ascii="Times New Roman" w:hAnsi="Times New Roman" w:eastAsia="Times New Roman" w:cs="Times New Roman"/>
                <w:b w:val="0"/>
                <w:i w:val="0"/>
                <w:color w:val="000000"/>
                <w:sz w:val="24"/>
                <w:u w:val="none"/>
              </w:rPr>
              <w:t>3,343,212,905.92</w:t>
            </w:r>
          </w:p>
        </w:tc>
        <w:tc>
          <w:tcPr>
            <w:tcW w:w="2477" w:type="dxa"/>
            <w:vAlign w:val="center"/>
          </w:tcPr>
          <w:p>
            <w:pPr>
              <w:jc w:val="center"/>
              <w:textAlignment w:val="auto"/>
            </w:pPr>
            <w:r>
              <w:rPr>
                <w:rFonts w:ascii="Times New Roman" w:hAnsi="Times New Roman" w:eastAsia="Times New Roman" w:cs="Times New Roman"/>
                <w:b w:val="0"/>
                <w:i w:val="0"/>
                <w:color w:val="000000"/>
                <w:sz w:val="24"/>
                <w:u w:val="none"/>
              </w:rPr>
              <w:t>97.61%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1281" w:type="dxa"/>
            <w:vAlign w:val="center"/>
          </w:tcPr>
          <w:p>
            <w:pPr>
              <w:jc w:val="center"/>
              <w:textAlignment w:val="auto"/>
            </w:pPr>
            <w:r>
              <w:rPr>
                <w:rFonts w:ascii="Times New Roman" w:hAnsi="Times New Roman" w:eastAsia="Times New Roman" w:cs="Times New Roman"/>
                <w:b w:val="0"/>
                <w:i w:val="0"/>
                <w:color w:val="000000"/>
                <w:sz w:val="24"/>
                <w:u w:val="none"/>
              </w:rPr>
              <w:t>3</w:t>
            </w:r>
          </w:p>
        </w:tc>
        <w:tc>
          <w:tcPr>
            <w:tcW w:w="2620" w:type="dxa"/>
            <w:vAlign w:val="center"/>
          </w:tcPr>
          <w:p>
            <w:pPr>
              <w:jc w:val="center"/>
              <w:textAlignment w:val="auto"/>
            </w:pPr>
            <w:r>
              <w:rPr>
                <w:rFonts w:ascii="Times New Roman" w:hAnsi="Times New Roman" w:eastAsia="Times New Roman" w:cs="Times New Roman"/>
                <w:b w:val="0"/>
                <w:i w:val="0"/>
                <w:color w:val="000000"/>
                <w:sz w:val="24"/>
                <w:u w:val="none"/>
              </w:rPr>
              <w:t>资产支持证券投资</w:t>
            </w:r>
          </w:p>
        </w:tc>
        <w:tc>
          <w:tcPr>
            <w:tcW w:w="2694" w:type="dxa"/>
            <w:vAlign w:val="center"/>
          </w:tcPr>
          <w:p>
            <w:pPr>
              <w:jc w:val="center"/>
              <w:textAlignment w:val="auto"/>
            </w:pPr>
            <w:r>
              <w:rPr>
                <w:rFonts w:ascii="Times New Roman" w:hAnsi="Times New Roman" w:eastAsia="Times New Roman" w:cs="Times New Roman"/>
                <w:b w:val="0"/>
                <w:i w:val="0"/>
                <w:color w:val="000000"/>
                <w:sz w:val="24"/>
                <w:u w:val="none"/>
              </w:rPr>
              <w:t>-</w:t>
            </w:r>
          </w:p>
        </w:tc>
        <w:tc>
          <w:tcPr>
            <w:tcW w:w="2477" w:type="dxa"/>
            <w:vAlign w:val="center"/>
          </w:tcPr>
          <w:p>
            <w:pPr>
              <w:jc w:val="center"/>
              <w:textAlignment w:val="auto"/>
            </w:pPr>
            <w:r>
              <w:rPr>
                <w:rFonts w:ascii="Times New Roman" w:hAnsi="Times New Roman" w:eastAsia="Times New Roman" w:cs="Times New Roman"/>
                <w:b w:val="0"/>
                <w:i w:val="0"/>
                <w:color w:val="000000"/>
                <w:sz w:val="24"/>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1281" w:type="dxa"/>
            <w:vAlign w:val="center"/>
          </w:tcPr>
          <w:p>
            <w:pPr>
              <w:jc w:val="center"/>
              <w:textAlignment w:val="auto"/>
            </w:pPr>
            <w:r>
              <w:rPr>
                <w:rFonts w:ascii="Times New Roman" w:hAnsi="Times New Roman" w:eastAsia="Times New Roman" w:cs="Times New Roman"/>
                <w:b w:val="0"/>
                <w:i w:val="0"/>
                <w:color w:val="000000"/>
                <w:sz w:val="24"/>
                <w:u w:val="none"/>
              </w:rPr>
              <w:t>4</w:t>
            </w:r>
          </w:p>
        </w:tc>
        <w:tc>
          <w:tcPr>
            <w:tcW w:w="2620" w:type="dxa"/>
            <w:vAlign w:val="center"/>
          </w:tcPr>
          <w:p>
            <w:pPr>
              <w:jc w:val="center"/>
              <w:textAlignment w:val="auto"/>
            </w:pPr>
            <w:r>
              <w:rPr>
                <w:rFonts w:ascii="Times New Roman" w:hAnsi="Times New Roman" w:eastAsia="Times New Roman" w:cs="Times New Roman"/>
                <w:b w:val="0"/>
                <w:i w:val="0"/>
                <w:color w:val="000000"/>
                <w:sz w:val="24"/>
                <w:u w:val="none"/>
              </w:rPr>
              <w:t>信托计划</w:t>
            </w:r>
          </w:p>
        </w:tc>
        <w:tc>
          <w:tcPr>
            <w:tcW w:w="2694" w:type="dxa"/>
            <w:vAlign w:val="center"/>
          </w:tcPr>
          <w:p>
            <w:pPr>
              <w:jc w:val="center"/>
              <w:textAlignment w:val="auto"/>
            </w:pPr>
            <w:r>
              <w:rPr>
                <w:rFonts w:ascii="Times New Roman" w:hAnsi="Times New Roman" w:eastAsia="Times New Roman" w:cs="Times New Roman"/>
                <w:b w:val="0"/>
                <w:i w:val="0"/>
                <w:color w:val="000000"/>
                <w:sz w:val="24"/>
                <w:u w:val="none"/>
              </w:rPr>
              <w:t>-</w:t>
            </w:r>
          </w:p>
        </w:tc>
        <w:tc>
          <w:tcPr>
            <w:tcW w:w="2477" w:type="dxa"/>
            <w:vAlign w:val="center"/>
          </w:tcPr>
          <w:p>
            <w:pPr>
              <w:jc w:val="center"/>
              <w:textAlignment w:val="auto"/>
            </w:pPr>
            <w:r>
              <w:rPr>
                <w:rFonts w:ascii="Times New Roman" w:hAnsi="Times New Roman" w:eastAsia="Times New Roman" w:cs="Times New Roman"/>
                <w:b w:val="0"/>
                <w:i w:val="0"/>
                <w:color w:val="000000"/>
                <w:sz w:val="24"/>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1281" w:type="dxa"/>
            <w:vAlign w:val="center"/>
          </w:tcPr>
          <w:p>
            <w:pPr>
              <w:jc w:val="center"/>
              <w:textAlignment w:val="auto"/>
            </w:pPr>
            <w:r>
              <w:rPr>
                <w:rFonts w:ascii="Times New Roman" w:hAnsi="Times New Roman" w:eastAsia="Times New Roman" w:cs="Times New Roman"/>
                <w:b w:val="0"/>
                <w:i w:val="0"/>
                <w:color w:val="000000"/>
                <w:sz w:val="24"/>
                <w:u w:val="none"/>
              </w:rPr>
              <w:t>5</w:t>
            </w:r>
          </w:p>
        </w:tc>
        <w:tc>
          <w:tcPr>
            <w:tcW w:w="2620" w:type="dxa"/>
            <w:vAlign w:val="center"/>
          </w:tcPr>
          <w:p>
            <w:pPr>
              <w:jc w:val="center"/>
              <w:textAlignment w:val="auto"/>
            </w:pPr>
            <w:r>
              <w:rPr>
                <w:rFonts w:ascii="Times New Roman" w:hAnsi="Times New Roman" w:eastAsia="Times New Roman" w:cs="Times New Roman"/>
                <w:b w:val="0"/>
                <w:i w:val="0"/>
                <w:color w:val="000000"/>
                <w:sz w:val="24"/>
                <w:u w:val="none"/>
              </w:rPr>
              <w:t>资产管理计划</w:t>
            </w:r>
          </w:p>
        </w:tc>
        <w:tc>
          <w:tcPr>
            <w:tcW w:w="2694" w:type="dxa"/>
            <w:vAlign w:val="center"/>
          </w:tcPr>
          <w:p>
            <w:pPr>
              <w:jc w:val="center"/>
              <w:textAlignment w:val="auto"/>
            </w:pPr>
            <w:r>
              <w:rPr>
                <w:rFonts w:ascii="Times New Roman" w:hAnsi="Times New Roman" w:eastAsia="Times New Roman" w:cs="Times New Roman"/>
                <w:b w:val="0"/>
                <w:i w:val="0"/>
                <w:color w:val="000000"/>
                <w:sz w:val="24"/>
                <w:u w:val="none"/>
              </w:rPr>
              <w:t>-</w:t>
            </w:r>
          </w:p>
        </w:tc>
        <w:tc>
          <w:tcPr>
            <w:tcW w:w="2477" w:type="dxa"/>
            <w:vAlign w:val="center"/>
          </w:tcPr>
          <w:p>
            <w:pPr>
              <w:jc w:val="center"/>
              <w:textAlignment w:val="auto"/>
            </w:pPr>
            <w:r>
              <w:rPr>
                <w:rFonts w:ascii="Times New Roman" w:hAnsi="Times New Roman" w:eastAsia="Times New Roman" w:cs="Times New Roman"/>
                <w:b w:val="0"/>
                <w:i w:val="0"/>
                <w:color w:val="000000"/>
                <w:sz w:val="24"/>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1281" w:type="dxa"/>
            <w:vAlign w:val="center"/>
          </w:tcPr>
          <w:p>
            <w:pPr>
              <w:jc w:val="center"/>
              <w:textAlignment w:val="auto"/>
            </w:pPr>
            <w:r>
              <w:rPr>
                <w:rFonts w:ascii="Times New Roman" w:hAnsi="Times New Roman" w:eastAsia="Times New Roman" w:cs="Times New Roman"/>
                <w:b w:val="0"/>
                <w:i w:val="0"/>
                <w:color w:val="000000"/>
                <w:sz w:val="24"/>
                <w:u w:val="none"/>
              </w:rPr>
              <w:t>6</w:t>
            </w:r>
          </w:p>
        </w:tc>
        <w:tc>
          <w:tcPr>
            <w:tcW w:w="2620" w:type="dxa"/>
            <w:vAlign w:val="center"/>
          </w:tcPr>
          <w:p>
            <w:pPr>
              <w:jc w:val="center"/>
              <w:textAlignment w:val="auto"/>
            </w:pPr>
            <w:r>
              <w:rPr>
                <w:rFonts w:ascii="Times New Roman" w:hAnsi="Times New Roman" w:eastAsia="Times New Roman" w:cs="Times New Roman"/>
                <w:b w:val="0"/>
                <w:i w:val="0"/>
                <w:color w:val="000000"/>
                <w:sz w:val="24"/>
                <w:u w:val="none"/>
              </w:rPr>
              <w:t>净值类资产管理计划</w:t>
            </w:r>
          </w:p>
        </w:tc>
        <w:tc>
          <w:tcPr>
            <w:tcW w:w="2694" w:type="dxa"/>
            <w:vAlign w:val="center"/>
          </w:tcPr>
          <w:p>
            <w:pPr>
              <w:jc w:val="center"/>
              <w:textAlignment w:val="auto"/>
            </w:pPr>
            <w:r>
              <w:rPr>
                <w:rFonts w:ascii="Times New Roman" w:hAnsi="Times New Roman" w:eastAsia="Times New Roman" w:cs="Times New Roman"/>
                <w:b w:val="0"/>
                <w:i w:val="0"/>
                <w:color w:val="000000"/>
                <w:sz w:val="24"/>
                <w:u w:val="none"/>
              </w:rPr>
              <w:t>-</w:t>
            </w:r>
          </w:p>
        </w:tc>
        <w:tc>
          <w:tcPr>
            <w:tcW w:w="2477" w:type="dxa"/>
            <w:vAlign w:val="center"/>
          </w:tcPr>
          <w:p>
            <w:pPr>
              <w:jc w:val="center"/>
              <w:textAlignment w:val="auto"/>
            </w:pPr>
            <w:r>
              <w:rPr>
                <w:rFonts w:ascii="Times New Roman" w:hAnsi="Times New Roman" w:eastAsia="Times New Roman" w:cs="Times New Roman"/>
                <w:b w:val="0"/>
                <w:i w:val="0"/>
                <w:color w:val="000000"/>
                <w:sz w:val="24"/>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1281" w:type="dxa"/>
            <w:vAlign w:val="center"/>
          </w:tcPr>
          <w:p>
            <w:pPr>
              <w:jc w:val="center"/>
              <w:textAlignment w:val="auto"/>
            </w:pPr>
            <w:r>
              <w:rPr>
                <w:rFonts w:ascii="Times New Roman" w:hAnsi="Times New Roman" w:eastAsia="Times New Roman" w:cs="Times New Roman"/>
                <w:b w:val="0"/>
                <w:i w:val="0"/>
                <w:color w:val="000000"/>
                <w:sz w:val="24"/>
                <w:u w:val="none"/>
              </w:rPr>
              <w:t>7</w:t>
            </w:r>
          </w:p>
        </w:tc>
        <w:tc>
          <w:tcPr>
            <w:tcW w:w="2620" w:type="dxa"/>
            <w:vAlign w:val="center"/>
          </w:tcPr>
          <w:p>
            <w:pPr>
              <w:jc w:val="center"/>
              <w:textAlignment w:val="auto"/>
            </w:pPr>
            <w:r>
              <w:rPr>
                <w:rFonts w:ascii="Times New Roman" w:hAnsi="Times New Roman" w:eastAsia="Times New Roman" w:cs="Times New Roman"/>
                <w:b w:val="0"/>
                <w:i w:val="0"/>
                <w:color w:val="000000"/>
                <w:sz w:val="24"/>
                <w:u w:val="none"/>
              </w:rPr>
              <w:t>资金拆出</w:t>
            </w:r>
          </w:p>
        </w:tc>
        <w:tc>
          <w:tcPr>
            <w:tcW w:w="2694" w:type="dxa"/>
            <w:vAlign w:val="center"/>
          </w:tcPr>
          <w:p>
            <w:pPr>
              <w:jc w:val="center"/>
              <w:textAlignment w:val="auto"/>
            </w:pPr>
            <w:r>
              <w:rPr>
                <w:rFonts w:ascii="Times New Roman" w:hAnsi="Times New Roman" w:eastAsia="Times New Roman" w:cs="Times New Roman"/>
                <w:b w:val="0"/>
                <w:i w:val="0"/>
                <w:color w:val="000000"/>
                <w:sz w:val="24"/>
                <w:u w:val="none"/>
              </w:rPr>
              <w:t>-</w:t>
            </w:r>
          </w:p>
        </w:tc>
        <w:tc>
          <w:tcPr>
            <w:tcW w:w="2477" w:type="dxa"/>
            <w:vAlign w:val="center"/>
          </w:tcPr>
          <w:p>
            <w:pPr>
              <w:jc w:val="center"/>
              <w:textAlignment w:val="auto"/>
            </w:pPr>
            <w:r>
              <w:rPr>
                <w:rFonts w:ascii="Times New Roman" w:hAnsi="Times New Roman" w:eastAsia="Times New Roman" w:cs="Times New Roman"/>
                <w:b w:val="0"/>
                <w:i w:val="0"/>
                <w:color w:val="000000"/>
                <w:sz w:val="24"/>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1281" w:type="dxa"/>
            <w:vAlign w:val="center"/>
          </w:tcPr>
          <w:p>
            <w:pPr>
              <w:jc w:val="center"/>
              <w:textAlignment w:val="auto"/>
            </w:pPr>
            <w:r>
              <w:rPr>
                <w:rFonts w:ascii="Times New Roman" w:hAnsi="Times New Roman" w:eastAsia="Times New Roman" w:cs="Times New Roman"/>
                <w:b w:val="0"/>
                <w:i w:val="0"/>
                <w:color w:val="000000"/>
                <w:sz w:val="24"/>
                <w:u w:val="none"/>
              </w:rPr>
              <w:t>8</w:t>
            </w:r>
          </w:p>
        </w:tc>
        <w:tc>
          <w:tcPr>
            <w:tcW w:w="2620" w:type="dxa"/>
            <w:vAlign w:val="center"/>
          </w:tcPr>
          <w:p>
            <w:pPr>
              <w:jc w:val="center"/>
              <w:textAlignment w:val="auto"/>
            </w:pPr>
            <w:r>
              <w:rPr>
                <w:rFonts w:ascii="Times New Roman" w:hAnsi="Times New Roman" w:eastAsia="Times New Roman" w:cs="Times New Roman"/>
                <w:b w:val="0"/>
                <w:i w:val="0"/>
                <w:color w:val="000000"/>
                <w:sz w:val="24"/>
                <w:u w:val="none"/>
              </w:rPr>
              <w:t>结算备付金</w:t>
            </w:r>
          </w:p>
        </w:tc>
        <w:tc>
          <w:tcPr>
            <w:tcW w:w="2694" w:type="dxa"/>
            <w:vAlign w:val="center"/>
          </w:tcPr>
          <w:p>
            <w:pPr>
              <w:jc w:val="center"/>
              <w:textAlignment w:val="auto"/>
            </w:pPr>
            <w:r>
              <w:rPr>
                <w:rFonts w:ascii="Times New Roman" w:hAnsi="Times New Roman" w:eastAsia="Times New Roman" w:cs="Times New Roman"/>
                <w:b w:val="0"/>
                <w:i w:val="0"/>
                <w:color w:val="000000"/>
                <w:sz w:val="24"/>
                <w:u w:val="none"/>
              </w:rPr>
              <w:t>-</w:t>
            </w:r>
          </w:p>
        </w:tc>
        <w:tc>
          <w:tcPr>
            <w:tcW w:w="2477" w:type="dxa"/>
            <w:vAlign w:val="center"/>
          </w:tcPr>
          <w:p>
            <w:pPr>
              <w:jc w:val="center"/>
              <w:textAlignment w:val="auto"/>
            </w:pPr>
            <w:r>
              <w:rPr>
                <w:rFonts w:ascii="Times New Roman" w:hAnsi="Times New Roman" w:eastAsia="Times New Roman" w:cs="Times New Roman"/>
                <w:b w:val="0"/>
                <w:i w:val="0"/>
                <w:color w:val="000000"/>
                <w:sz w:val="24"/>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1281" w:type="dxa"/>
            <w:vAlign w:val="center"/>
          </w:tcPr>
          <w:p>
            <w:pPr>
              <w:jc w:val="center"/>
              <w:textAlignment w:val="auto"/>
            </w:pPr>
            <w:r>
              <w:rPr>
                <w:rFonts w:ascii="Times New Roman" w:hAnsi="Times New Roman" w:eastAsia="Times New Roman" w:cs="Times New Roman"/>
                <w:b w:val="0"/>
                <w:i w:val="0"/>
                <w:color w:val="000000"/>
                <w:sz w:val="24"/>
                <w:u w:val="none"/>
              </w:rPr>
              <w:t>9</w:t>
            </w:r>
          </w:p>
        </w:tc>
        <w:tc>
          <w:tcPr>
            <w:tcW w:w="2620" w:type="dxa"/>
            <w:vAlign w:val="center"/>
          </w:tcPr>
          <w:p>
            <w:pPr>
              <w:jc w:val="center"/>
              <w:textAlignment w:val="auto"/>
            </w:pPr>
            <w:r>
              <w:rPr>
                <w:rFonts w:ascii="Times New Roman" w:hAnsi="Times New Roman" w:eastAsia="Times New Roman" w:cs="Times New Roman"/>
                <w:b w:val="0"/>
                <w:i w:val="0"/>
                <w:color w:val="000000"/>
                <w:sz w:val="24"/>
                <w:u w:val="none"/>
              </w:rPr>
              <w:t>买入返售金融资产</w:t>
            </w:r>
          </w:p>
        </w:tc>
        <w:tc>
          <w:tcPr>
            <w:tcW w:w="2694" w:type="dxa"/>
            <w:vAlign w:val="center"/>
          </w:tcPr>
          <w:p>
            <w:pPr>
              <w:jc w:val="center"/>
              <w:textAlignment w:val="auto"/>
            </w:pPr>
            <w:r>
              <w:rPr>
                <w:rFonts w:ascii="Times New Roman" w:hAnsi="Times New Roman" w:eastAsia="Times New Roman" w:cs="Times New Roman"/>
                <w:b w:val="0"/>
                <w:i w:val="0"/>
                <w:color w:val="000000"/>
                <w:sz w:val="24"/>
                <w:u w:val="none"/>
              </w:rPr>
              <w:t>-</w:t>
            </w:r>
          </w:p>
        </w:tc>
        <w:tc>
          <w:tcPr>
            <w:tcW w:w="2477" w:type="dxa"/>
            <w:vAlign w:val="center"/>
          </w:tcPr>
          <w:p>
            <w:pPr>
              <w:jc w:val="center"/>
              <w:textAlignment w:val="auto"/>
            </w:pPr>
            <w:r>
              <w:rPr>
                <w:rFonts w:ascii="Times New Roman" w:hAnsi="Times New Roman" w:eastAsia="Times New Roman" w:cs="Times New Roman"/>
                <w:b w:val="0"/>
                <w:i w:val="0"/>
                <w:color w:val="000000"/>
                <w:sz w:val="24"/>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1281" w:type="dxa"/>
            <w:vAlign w:val="center"/>
          </w:tcPr>
          <w:p>
            <w:pPr>
              <w:jc w:val="center"/>
              <w:textAlignment w:val="auto"/>
            </w:pPr>
            <w:r>
              <w:rPr>
                <w:rFonts w:ascii="Times New Roman" w:hAnsi="Times New Roman" w:eastAsia="Times New Roman" w:cs="Times New Roman"/>
                <w:b w:val="0"/>
                <w:i w:val="0"/>
                <w:color w:val="000000"/>
                <w:sz w:val="24"/>
                <w:u w:val="none"/>
              </w:rPr>
              <w:t>10</w:t>
            </w:r>
          </w:p>
        </w:tc>
        <w:tc>
          <w:tcPr>
            <w:tcW w:w="2620" w:type="dxa"/>
            <w:vAlign w:val="center"/>
          </w:tcPr>
          <w:p>
            <w:pPr>
              <w:jc w:val="center"/>
              <w:textAlignment w:val="auto"/>
            </w:pPr>
            <w:r>
              <w:rPr>
                <w:rFonts w:ascii="Times New Roman" w:hAnsi="Times New Roman" w:eastAsia="Times New Roman" w:cs="Times New Roman"/>
                <w:b w:val="0"/>
                <w:i w:val="0"/>
                <w:color w:val="000000"/>
                <w:sz w:val="24"/>
                <w:u w:val="none"/>
              </w:rPr>
              <w:t>其他资产</w:t>
            </w:r>
          </w:p>
        </w:tc>
        <w:tc>
          <w:tcPr>
            <w:tcW w:w="2694" w:type="dxa"/>
            <w:vAlign w:val="center"/>
          </w:tcPr>
          <w:p>
            <w:pPr>
              <w:jc w:val="center"/>
              <w:textAlignment w:val="auto"/>
            </w:pPr>
            <w:r>
              <w:rPr>
                <w:rFonts w:ascii="Times New Roman" w:hAnsi="Times New Roman" w:eastAsia="Times New Roman" w:cs="Times New Roman"/>
                <w:b w:val="0"/>
                <w:i w:val="0"/>
                <w:color w:val="000000"/>
                <w:sz w:val="24"/>
                <w:u w:val="none"/>
              </w:rPr>
              <w:t>0.00</w:t>
            </w:r>
          </w:p>
        </w:tc>
        <w:tc>
          <w:tcPr>
            <w:tcW w:w="2477" w:type="dxa"/>
            <w:vAlign w:val="center"/>
          </w:tcPr>
          <w:p>
            <w:pPr>
              <w:jc w:val="center"/>
              <w:textAlignment w:val="auto"/>
            </w:pPr>
            <w:r>
              <w:rPr>
                <w:rFonts w:ascii="Times New Roman" w:hAnsi="Times New Roman" w:eastAsia="Times New Roman" w:cs="Times New Roman"/>
                <w:b w:val="0"/>
                <w:i w:val="0"/>
                <w:color w:val="000000"/>
                <w:sz w:val="24"/>
                <w:u w:val="none"/>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1281" w:type="dxa"/>
            <w:vAlign w:val="center"/>
          </w:tcPr>
          <w:p>
            <w:pPr>
              <w:jc w:val="center"/>
              <w:textAlignment w:val="auto"/>
            </w:pPr>
            <w:r>
              <w:rPr>
                <w:rFonts w:ascii="Times New Roman" w:hAnsi="Times New Roman" w:eastAsia="Times New Roman" w:cs="Times New Roman"/>
                <w:b w:val="0"/>
                <w:i w:val="0"/>
                <w:color w:val="000000"/>
                <w:sz w:val="24"/>
                <w:u w:val="none"/>
              </w:rPr>
              <w:t>11</w:t>
            </w:r>
          </w:p>
        </w:tc>
        <w:tc>
          <w:tcPr>
            <w:tcW w:w="2620" w:type="dxa"/>
            <w:vAlign w:val="center"/>
          </w:tcPr>
          <w:p>
            <w:pPr>
              <w:jc w:val="center"/>
              <w:textAlignment w:val="auto"/>
            </w:pPr>
            <w:r>
              <w:rPr>
                <w:rFonts w:ascii="Times New Roman" w:hAnsi="Times New Roman" w:eastAsia="Times New Roman" w:cs="Times New Roman"/>
                <w:b w:val="0"/>
                <w:i w:val="0"/>
                <w:color w:val="000000"/>
                <w:sz w:val="24"/>
                <w:u w:val="none"/>
              </w:rPr>
              <w:t>应收利息</w:t>
            </w:r>
          </w:p>
        </w:tc>
        <w:tc>
          <w:tcPr>
            <w:tcW w:w="2694" w:type="dxa"/>
            <w:vAlign w:val="center"/>
          </w:tcPr>
          <w:p>
            <w:pPr>
              <w:jc w:val="center"/>
              <w:textAlignment w:val="auto"/>
            </w:pPr>
            <w:r>
              <w:rPr>
                <w:rFonts w:ascii="Times New Roman" w:hAnsi="Times New Roman" w:eastAsia="Times New Roman" w:cs="Times New Roman"/>
                <w:b w:val="0"/>
                <w:i w:val="0"/>
                <w:color w:val="000000"/>
                <w:sz w:val="24"/>
                <w:u w:val="none"/>
              </w:rPr>
              <w:t>61,062,082.02</w:t>
            </w:r>
          </w:p>
        </w:tc>
        <w:tc>
          <w:tcPr>
            <w:tcW w:w="2477" w:type="dxa"/>
            <w:vAlign w:val="center"/>
          </w:tcPr>
          <w:p>
            <w:pPr>
              <w:jc w:val="center"/>
              <w:textAlignment w:val="auto"/>
            </w:pPr>
            <w:r>
              <w:rPr>
                <w:rFonts w:ascii="Times New Roman" w:hAnsi="Times New Roman" w:eastAsia="Times New Roman" w:cs="Times New Roman"/>
                <w:b w:val="0"/>
                <w:i w:val="0"/>
                <w:color w:val="000000"/>
                <w:sz w:val="24"/>
                <w:u w:val="none"/>
              </w:rPr>
              <w:t>1.78%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1281" w:type="dxa"/>
            <w:vAlign w:val="center"/>
          </w:tcPr>
          <w:p>
            <w:pPr>
              <w:jc w:val="center"/>
              <w:textAlignment w:val="auto"/>
            </w:pPr>
          </w:p>
        </w:tc>
        <w:tc>
          <w:tcPr>
            <w:tcW w:w="2620" w:type="dxa"/>
            <w:vAlign w:val="center"/>
          </w:tcPr>
          <w:p>
            <w:pPr>
              <w:jc w:val="center"/>
              <w:textAlignment w:val="auto"/>
            </w:pPr>
            <w:r>
              <w:rPr>
                <w:rFonts w:ascii="Times New Roman" w:hAnsi="Times New Roman" w:eastAsia="Times New Roman" w:cs="Times New Roman"/>
                <w:b w:val="0"/>
                <w:i w:val="0"/>
                <w:color w:val="000000"/>
                <w:sz w:val="24"/>
                <w:u w:val="none"/>
              </w:rPr>
              <w:t>合计</w:t>
            </w:r>
          </w:p>
        </w:tc>
        <w:tc>
          <w:tcPr>
            <w:tcW w:w="2694" w:type="dxa"/>
            <w:vAlign w:val="center"/>
          </w:tcPr>
          <w:p>
            <w:pPr>
              <w:jc w:val="center"/>
              <w:textAlignment w:val="auto"/>
            </w:pPr>
            <w:r>
              <w:rPr>
                <w:rFonts w:ascii="Times New Roman" w:hAnsi="Times New Roman" w:eastAsia="Times New Roman" w:cs="Times New Roman"/>
                <w:b w:val="0"/>
                <w:i w:val="0"/>
                <w:color w:val="000000"/>
                <w:sz w:val="24"/>
                <w:u w:val="none"/>
              </w:rPr>
              <w:t>3,429,606,753.77</w:t>
            </w:r>
          </w:p>
        </w:tc>
        <w:tc>
          <w:tcPr>
            <w:tcW w:w="2477" w:type="dxa"/>
            <w:vAlign w:val="center"/>
          </w:tcPr>
          <w:p>
            <w:pPr>
              <w:jc w:val="center"/>
              <w:textAlignment w:val="auto"/>
            </w:pPr>
            <w:r>
              <w:rPr>
                <w:rFonts w:ascii="Times New Roman" w:hAnsi="Times New Roman" w:eastAsia="Times New Roman" w:cs="Times New Roman"/>
                <w:b w:val="0"/>
                <w:i w:val="0"/>
                <w:color w:val="000000"/>
                <w:sz w:val="24"/>
                <w:u w:val="none"/>
              </w:rPr>
              <w:t>100.13%</w:t>
            </w:r>
          </w:p>
        </w:tc>
      </w:tr>
    </w:tbl>
    <w:p>
      <w:pPr>
        <w:spacing w:line="360" w:lineRule="auto"/>
        <w:ind w:firstLine="482"/>
        <w:rPr>
          <w:rFonts w:ascii="仿宋_GB2312" w:hAnsi="Calibri" w:eastAsia="仿宋_GB2312"/>
          <w:sz w:val="24"/>
          <w:szCs w:val="24"/>
        </w:rPr>
      </w:pPr>
      <w:r>
        <w:rPr>
          <w:rFonts w:hint="eastAsia" w:ascii="仿宋_GB2312" w:eastAsia="仿宋_GB2312"/>
          <w:b/>
          <w:bCs/>
          <w:sz w:val="24"/>
          <w:szCs w:val="24"/>
        </w:rPr>
        <w:t>4.2 报告期内产品投资策略和组合流动性风险分析</w:t>
      </w:r>
    </w:p>
    <w:p>
      <w:pPr>
        <w:spacing w:line="360" w:lineRule="auto"/>
        <w:ind w:firstLine="482"/>
        <w:rPr>
          <w:rFonts w:ascii="仿宋_GB2312" w:hAnsi="Calibri" w:eastAsia="仿宋_GB2312"/>
          <w:sz w:val="24"/>
          <w:szCs w:val="24"/>
        </w:rPr>
      </w:pPr>
      <w:r>
        <w:rPr>
          <w:rFonts w:hint="eastAsia" w:ascii="仿宋_GB2312" w:eastAsia="仿宋_GB2312" w:hAnsiTheme="minorEastAsia"/>
          <w:bCs/>
          <w:sz w:val="24"/>
          <w:szCs w:val="24"/>
        </w:rPr>
        <w:t>投资策略以配置中短</w:t>
      </w:r>
      <w:r>
        <w:rPr>
          <w:rFonts w:hint="eastAsia" w:ascii="仿宋_GB2312" w:eastAsia="仿宋_GB2312" w:hAnsiTheme="minorEastAsia"/>
          <w:bCs/>
          <w:sz w:val="24"/>
          <w:szCs w:val="24"/>
          <w:lang w:val="en-US" w:eastAsia="zh-CN"/>
        </w:rPr>
        <w:t>期限</w:t>
      </w:r>
      <w:r>
        <w:rPr>
          <w:rFonts w:hint="eastAsia" w:ascii="仿宋_GB2312" w:eastAsia="仿宋_GB2312" w:hAnsiTheme="minorEastAsia"/>
          <w:bCs/>
          <w:sz w:val="24"/>
          <w:szCs w:val="24"/>
        </w:rPr>
        <w:t>的高等级信用债为主,适当杠杆增厚收益，相机配置长</w:t>
      </w:r>
      <w:r>
        <w:rPr>
          <w:rFonts w:hint="eastAsia" w:ascii="仿宋_GB2312" w:eastAsia="仿宋_GB2312" w:hAnsiTheme="minorEastAsia"/>
          <w:bCs/>
          <w:sz w:val="24"/>
          <w:szCs w:val="24"/>
          <w:lang w:val="en-US" w:eastAsia="zh-CN"/>
        </w:rPr>
        <w:t>期限</w:t>
      </w:r>
      <w:r>
        <w:rPr>
          <w:rFonts w:hint="eastAsia" w:ascii="仿宋_GB2312" w:eastAsia="仿宋_GB2312" w:hAnsiTheme="minorEastAsia"/>
          <w:bCs/>
          <w:sz w:val="24"/>
          <w:szCs w:val="24"/>
        </w:rPr>
        <w:t>利率债挖掘超额收益。</w:t>
      </w:r>
    </w:p>
    <w:p>
      <w:pPr>
        <w:rPr>
          <w:rFonts w:ascii="仿宋_GB2312" w:hAnsi="Calibri" w:eastAsia="仿宋_GB2312"/>
          <w:sz w:val="24"/>
          <w:szCs w:val="24"/>
        </w:rPr>
      </w:pPr>
    </w:p>
    <w:p>
      <w:pPr>
        <w:spacing w:line="360" w:lineRule="auto"/>
        <w:ind w:firstLine="482" w:firstLineChars="200"/>
        <w:rPr>
          <w:rFonts w:ascii="仿宋_GB2312" w:eastAsia="仿宋_GB2312" w:hAnsiTheme="minorEastAsia"/>
          <w:b/>
          <w:bCs/>
          <w:sz w:val="24"/>
          <w:szCs w:val="24"/>
        </w:rPr>
      </w:pPr>
      <w:r>
        <w:rPr>
          <w:rFonts w:ascii="仿宋_GB2312" w:eastAsia="仿宋_GB2312" w:hAnsiTheme="minorEastAsia"/>
          <w:b/>
          <w:bCs/>
          <w:sz w:val="24"/>
          <w:szCs w:val="24"/>
        </w:rPr>
        <w:t>4.3报告期末占比前十项资产明细</w:t>
      </w:r>
    </w:p>
    <w:tbl>
      <w:tblPr>
        <w:tblStyle w:val="9"/>
        <w:tblW w:w="9077"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
      <w:tblGrid>
        <w:gridCol w:w="1139"/>
        <w:gridCol w:w="2268"/>
        <w:gridCol w:w="2835"/>
        <w:gridCol w:w="283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296" w:hRule="atLeast"/>
        </w:trPr>
        <w:tc>
          <w:tcPr>
            <w:tcW w:w="1139" w:type="dxa"/>
            <w:vAlign w:val="center"/>
          </w:tcPr>
          <w:p>
            <w:pPr>
              <w:adjustRightInd w:val="0"/>
              <w:snapToGrid w:val="0"/>
              <w:spacing w:line="360" w:lineRule="auto"/>
              <w:jc w:val="center"/>
              <w:rPr>
                <w:rFonts w:ascii="仿宋_GB2312" w:eastAsia="仿宋_GB2312" w:hAnsiTheme="minorEastAsia"/>
                <w:color w:val="000000"/>
                <w:sz w:val="24"/>
                <w:szCs w:val="24"/>
              </w:rPr>
            </w:pPr>
            <w:r>
              <w:rPr>
                <w:rFonts w:hint="eastAsia" w:ascii="仿宋_GB2312" w:eastAsia="仿宋_GB2312" w:hAnsiTheme="minorEastAsia"/>
                <w:color w:val="000000"/>
                <w:sz w:val="24"/>
                <w:szCs w:val="24"/>
              </w:rPr>
              <w:t>序号</w:t>
            </w:r>
          </w:p>
        </w:tc>
        <w:tc>
          <w:tcPr>
            <w:tcW w:w="2268" w:type="dxa"/>
            <w:tcMar>
              <w:top w:w="15" w:type="dxa"/>
              <w:left w:w="15" w:type="dxa"/>
              <w:bottom w:w="0" w:type="dxa"/>
              <w:right w:w="15" w:type="dxa"/>
            </w:tcMar>
            <w:vAlign w:val="center"/>
          </w:tcPr>
          <w:p>
            <w:pPr>
              <w:pStyle w:val="14"/>
              <w:widowControl w:val="0"/>
              <w:pBdr>
                <w:left w:val="none" w:color="auto" w:sz="0" w:space="0"/>
                <w:bottom w:val="none" w:color="auto" w:sz="0" w:space="0"/>
                <w:right w:val="none" w:color="auto" w:sz="0" w:space="0"/>
              </w:pBdr>
              <w:adjustRightInd w:val="0"/>
              <w:snapToGrid w:val="0"/>
              <w:spacing w:before="0" w:beforeAutospacing="0" w:after="0" w:afterAutospacing="0" w:line="360" w:lineRule="auto"/>
              <w:rPr>
                <w:rFonts w:ascii="仿宋_GB2312" w:eastAsia="仿宋_GB2312" w:cs="Times New Roman" w:hAnsiTheme="minorEastAsia"/>
                <w:color w:val="000000"/>
                <w:kern w:val="2"/>
              </w:rPr>
            </w:pPr>
            <w:r>
              <w:rPr>
                <w:rFonts w:hint="eastAsia" w:ascii="仿宋_GB2312" w:eastAsia="仿宋_GB2312" w:cs="Times New Roman" w:hAnsiTheme="minorEastAsia"/>
                <w:color w:val="000000"/>
                <w:kern w:val="2"/>
              </w:rPr>
              <w:t>资产名称</w:t>
            </w:r>
          </w:p>
        </w:tc>
        <w:tc>
          <w:tcPr>
            <w:tcW w:w="2835" w:type="dxa"/>
          </w:tcPr>
          <w:p>
            <w:pPr>
              <w:adjustRightInd w:val="0"/>
              <w:snapToGrid w:val="0"/>
              <w:spacing w:line="360" w:lineRule="auto"/>
              <w:jc w:val="center"/>
              <w:rPr>
                <w:rFonts w:ascii="仿宋_GB2312" w:eastAsia="仿宋_GB2312" w:hAnsiTheme="minorEastAsia"/>
                <w:color w:val="000000"/>
                <w:sz w:val="24"/>
                <w:szCs w:val="24"/>
              </w:rPr>
            </w:pPr>
            <w:r>
              <w:rPr>
                <w:rFonts w:hint="eastAsia" w:ascii="仿宋_GB2312" w:eastAsia="仿宋_GB2312" w:hAnsiTheme="minorEastAsia"/>
                <w:color w:val="000000"/>
                <w:sz w:val="24"/>
                <w:szCs w:val="24"/>
              </w:rPr>
              <w:t>资产规模</w:t>
            </w:r>
          </w:p>
        </w:tc>
        <w:tc>
          <w:tcPr>
            <w:tcW w:w="2835" w:type="dxa"/>
            <w:tcMar>
              <w:top w:w="15" w:type="dxa"/>
              <w:left w:w="15" w:type="dxa"/>
              <w:bottom w:w="0" w:type="dxa"/>
              <w:right w:w="15" w:type="dxa"/>
            </w:tcMar>
            <w:vAlign w:val="center"/>
          </w:tcPr>
          <w:p>
            <w:pPr>
              <w:adjustRightInd w:val="0"/>
              <w:snapToGrid w:val="0"/>
              <w:spacing w:line="360" w:lineRule="auto"/>
              <w:jc w:val="center"/>
              <w:rPr>
                <w:rFonts w:ascii="仿宋_GB2312" w:eastAsia="仿宋_GB2312" w:hAnsiTheme="minorEastAsia"/>
                <w:color w:val="000000"/>
                <w:sz w:val="24"/>
                <w:szCs w:val="24"/>
              </w:rPr>
            </w:pPr>
            <w:r>
              <w:rPr>
                <w:rFonts w:hint="eastAsia" w:ascii="仿宋_GB2312" w:eastAsia="仿宋_GB2312" w:hAnsiTheme="minorEastAsia"/>
                <w:color w:val="000000"/>
                <w:sz w:val="24"/>
                <w:szCs w:val="24"/>
              </w:rPr>
              <w:t>占产品资产净值比例</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296" w:hRule="atLeast"/>
        </w:trPr>
        <w:tc>
          <w:tcPr>
            <w:tcW w:w="1139" w:type="dxa"/>
          </w:tcPr>
          <w:p>
            <w:pPr>
              <w:adjustRightInd w:val="0"/>
              <w:snapToGrid w:val="0"/>
              <w:spacing w:line="360" w:lineRule="auto"/>
              <w:jc w:val="center"/>
              <w:rPr>
                <w:rFonts w:ascii="仿宋_GB2312" w:eastAsia="仿宋_GB2312" w:hAnsiTheme="minorEastAsia"/>
                <w:color w:val="000000"/>
                <w:sz w:val="24"/>
                <w:szCs w:val="24"/>
              </w:rPr>
            </w:pPr>
            <w:r>
              <w:rPr>
                <w:rFonts w:ascii="仿宋_GB2312" w:hAnsi="Calibri" w:eastAsia="仿宋_GB2312" w:cs="宋体"/>
                <w:color w:val="000000"/>
                <w:sz w:val="24"/>
                <w:szCs w:val="24"/>
              </w:rPr>
              <w:t>1</w:t>
            </w:r>
          </w:p>
        </w:tc>
        <w:tc>
          <w:tcPr>
            <w:tcW w:w="2268" w:type="dxa"/>
            <w:tcMar>
              <w:top w:w="15" w:type="dxa"/>
              <w:left w:w="15" w:type="dxa"/>
              <w:bottom w:w="0" w:type="dxa"/>
              <w:right w:w="15" w:type="dxa"/>
            </w:tcMar>
          </w:tcPr>
          <w:p>
            <w:pPr>
              <w:adjustRightInd w:val="0"/>
              <w:snapToGrid w:val="0"/>
              <w:spacing w:line="360" w:lineRule="auto"/>
              <w:jc w:val="center"/>
              <w:rPr>
                <w:rFonts w:ascii="仿宋_GB2312" w:eastAsia="仿宋_GB2312" w:hAnsiTheme="minorEastAsia"/>
                <w:color w:val="000000"/>
                <w:sz w:val="24"/>
                <w:szCs w:val="24"/>
              </w:rPr>
            </w:pPr>
            <w:r>
              <w:rPr>
                <w:rFonts w:ascii="仿宋_GB2312" w:hAnsi="Calibri" w:eastAsia="仿宋_GB2312" w:cs="宋体"/>
                <w:color w:val="000000"/>
                <w:sz w:val="24"/>
                <w:szCs w:val="24"/>
              </w:rPr>
              <w:t>20临安国控PPN001</w:t>
            </w:r>
          </w:p>
        </w:tc>
        <w:tc>
          <w:tcPr>
            <w:tcW w:w="2835" w:type="dxa"/>
          </w:tcPr>
          <w:p>
            <w:pPr>
              <w:adjustRightInd w:val="0"/>
              <w:snapToGrid w:val="0"/>
              <w:spacing w:line="360" w:lineRule="auto"/>
              <w:jc w:val="center"/>
              <w:rPr>
                <w:rFonts w:ascii="仿宋_GB2312" w:eastAsia="仿宋_GB2312" w:hAnsiTheme="minorEastAsia"/>
                <w:color w:val="000000"/>
                <w:sz w:val="24"/>
                <w:szCs w:val="24"/>
              </w:rPr>
            </w:pPr>
            <w:r>
              <w:rPr>
                <w:rFonts w:ascii="仿宋_GB2312" w:hAnsi="Calibri" w:eastAsia="仿宋_GB2312" w:cs="宋体"/>
                <w:color w:val="000000"/>
                <w:sz w:val="24"/>
                <w:szCs w:val="24"/>
              </w:rPr>
              <w:t>298,760,860.55</w:t>
            </w:r>
          </w:p>
        </w:tc>
        <w:tc>
          <w:tcPr>
            <w:tcW w:w="2835" w:type="dxa"/>
            <w:tcMar>
              <w:top w:w="15" w:type="dxa"/>
              <w:left w:w="15" w:type="dxa"/>
              <w:bottom w:w="0" w:type="dxa"/>
              <w:right w:w="15" w:type="dxa"/>
            </w:tcMar>
          </w:tcPr>
          <w:p>
            <w:pPr>
              <w:adjustRightInd w:val="0"/>
              <w:snapToGrid w:val="0"/>
              <w:spacing w:line="360" w:lineRule="auto"/>
              <w:jc w:val="center"/>
              <w:rPr>
                <w:rFonts w:ascii="仿宋_GB2312" w:eastAsia="仿宋_GB2312" w:hAnsiTheme="minorEastAsia"/>
                <w:color w:val="000000"/>
                <w:sz w:val="24"/>
                <w:szCs w:val="24"/>
              </w:rPr>
            </w:pPr>
            <w:r>
              <w:rPr>
                <w:rFonts w:ascii="仿宋_GB2312" w:hAnsi="Calibri" w:eastAsia="仿宋_GB2312" w:cs="宋体"/>
                <w:color w:val="000000"/>
                <w:sz w:val="24"/>
                <w:szCs w:val="24"/>
              </w:rPr>
              <w:t>8.72%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c>
          <w:tcPr>
            <w:tcW w:w="1139" w:type="dxa"/>
          </w:tcPr>
          <w:p>
            <w:pPr>
              <w:jc w:val="center"/>
              <w:textAlignment w:val="auto"/>
            </w:pPr>
            <w:r>
              <w:rPr>
                <w:rFonts w:ascii="Times New Roman" w:hAnsi="Times New Roman" w:eastAsia="Times New Roman" w:cs="Times New Roman"/>
                <w:b w:val="0"/>
                <w:i w:val="0"/>
                <w:color w:val="000000"/>
                <w:sz w:val="24"/>
                <w:u w:val="none"/>
              </w:rPr>
              <w:t>2</w:t>
            </w:r>
          </w:p>
        </w:tc>
        <w:tc>
          <w:tcPr>
            <w:tcW w:w="2268" w:type="dxa"/>
            <w:tcMar>
              <w:top w:w="15" w:type="dxa"/>
              <w:left w:w="15" w:type="dxa"/>
              <w:bottom w:w="0" w:type="dxa"/>
              <w:right w:w="15" w:type="dxa"/>
            </w:tcMar>
          </w:tcPr>
          <w:p>
            <w:pPr>
              <w:jc w:val="center"/>
              <w:textAlignment w:val="auto"/>
            </w:pPr>
            <w:r>
              <w:rPr>
                <w:rFonts w:ascii="Times New Roman" w:hAnsi="Times New Roman" w:eastAsia="Times New Roman" w:cs="Times New Roman"/>
                <w:b w:val="0"/>
                <w:i w:val="0"/>
                <w:color w:val="000000"/>
                <w:sz w:val="24"/>
                <w:u w:val="none"/>
              </w:rPr>
              <w:t>20中广核MTN001</w:t>
            </w:r>
          </w:p>
        </w:tc>
        <w:tc>
          <w:tcPr>
            <w:tcW w:w="2835" w:type="dxa"/>
          </w:tcPr>
          <w:p>
            <w:pPr>
              <w:jc w:val="center"/>
              <w:textAlignment w:val="auto"/>
            </w:pPr>
            <w:r>
              <w:rPr>
                <w:rFonts w:ascii="Times New Roman" w:hAnsi="Times New Roman" w:eastAsia="Times New Roman" w:cs="Times New Roman"/>
                <w:b w:val="0"/>
                <w:i w:val="0"/>
                <w:color w:val="000000"/>
                <w:sz w:val="24"/>
                <w:u w:val="none"/>
              </w:rPr>
              <w:t>296,404,157.04</w:t>
            </w:r>
          </w:p>
        </w:tc>
        <w:tc>
          <w:tcPr>
            <w:tcW w:w="2835" w:type="dxa"/>
            <w:tcMar>
              <w:top w:w="15" w:type="dxa"/>
              <w:left w:w="15" w:type="dxa"/>
              <w:bottom w:w="0" w:type="dxa"/>
              <w:right w:w="15" w:type="dxa"/>
            </w:tcMar>
          </w:tcPr>
          <w:p>
            <w:pPr>
              <w:jc w:val="center"/>
              <w:textAlignment w:val="auto"/>
            </w:pPr>
            <w:r>
              <w:rPr>
                <w:rFonts w:ascii="Times New Roman" w:hAnsi="Times New Roman" w:eastAsia="Times New Roman" w:cs="Times New Roman"/>
                <w:b w:val="0"/>
                <w:i w:val="0"/>
                <w:color w:val="000000"/>
                <w:sz w:val="24"/>
                <w:u w:val="none"/>
              </w:rPr>
              <w:t>8.65%</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c>
          <w:tcPr>
            <w:tcW w:w="1139" w:type="dxa"/>
          </w:tcPr>
          <w:p>
            <w:pPr>
              <w:jc w:val="center"/>
              <w:textAlignment w:val="auto"/>
            </w:pPr>
            <w:r>
              <w:rPr>
                <w:rFonts w:ascii="Times New Roman" w:hAnsi="Times New Roman" w:eastAsia="Times New Roman" w:cs="Times New Roman"/>
                <w:b w:val="0"/>
                <w:i w:val="0"/>
                <w:color w:val="000000"/>
                <w:sz w:val="24"/>
                <w:u w:val="none"/>
              </w:rPr>
              <w:t>3</w:t>
            </w:r>
          </w:p>
        </w:tc>
        <w:tc>
          <w:tcPr>
            <w:tcW w:w="2268" w:type="dxa"/>
            <w:tcMar>
              <w:top w:w="15" w:type="dxa"/>
              <w:left w:w="15" w:type="dxa"/>
              <w:bottom w:w="0" w:type="dxa"/>
              <w:right w:w="15" w:type="dxa"/>
            </w:tcMar>
          </w:tcPr>
          <w:p>
            <w:pPr>
              <w:jc w:val="center"/>
              <w:textAlignment w:val="auto"/>
            </w:pPr>
            <w:r>
              <w:rPr>
                <w:rFonts w:ascii="Times New Roman" w:hAnsi="Times New Roman" w:eastAsia="Times New Roman" w:cs="Times New Roman"/>
                <w:b w:val="0"/>
                <w:i w:val="0"/>
                <w:color w:val="000000"/>
                <w:sz w:val="24"/>
                <w:u w:val="none"/>
              </w:rPr>
              <w:t>17甬开投MTN001</w:t>
            </w:r>
          </w:p>
        </w:tc>
        <w:tc>
          <w:tcPr>
            <w:tcW w:w="2835" w:type="dxa"/>
          </w:tcPr>
          <w:p>
            <w:pPr>
              <w:jc w:val="center"/>
              <w:textAlignment w:val="auto"/>
            </w:pPr>
            <w:r>
              <w:rPr>
                <w:rFonts w:ascii="Times New Roman" w:hAnsi="Times New Roman" w:eastAsia="Times New Roman" w:cs="Times New Roman"/>
                <w:b w:val="0"/>
                <w:i w:val="0"/>
                <w:color w:val="000000"/>
                <w:sz w:val="24"/>
                <w:u w:val="none"/>
              </w:rPr>
              <w:t>236,293,562.72</w:t>
            </w:r>
          </w:p>
        </w:tc>
        <w:tc>
          <w:tcPr>
            <w:tcW w:w="2835" w:type="dxa"/>
            <w:tcMar>
              <w:top w:w="15" w:type="dxa"/>
              <w:left w:w="15" w:type="dxa"/>
              <w:bottom w:w="0" w:type="dxa"/>
              <w:right w:w="15" w:type="dxa"/>
            </w:tcMar>
          </w:tcPr>
          <w:p>
            <w:pPr>
              <w:jc w:val="center"/>
              <w:textAlignment w:val="auto"/>
            </w:pPr>
            <w:r>
              <w:rPr>
                <w:rFonts w:ascii="Times New Roman" w:hAnsi="Times New Roman" w:eastAsia="Times New Roman" w:cs="Times New Roman"/>
                <w:b w:val="0"/>
                <w:i w:val="0"/>
                <w:color w:val="000000"/>
                <w:sz w:val="24"/>
                <w:u w:val="none"/>
              </w:rPr>
              <w:t>6.90%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c>
          <w:tcPr>
            <w:tcW w:w="1139" w:type="dxa"/>
          </w:tcPr>
          <w:p>
            <w:pPr>
              <w:jc w:val="center"/>
              <w:textAlignment w:val="auto"/>
            </w:pPr>
            <w:r>
              <w:rPr>
                <w:rFonts w:ascii="Times New Roman" w:hAnsi="Times New Roman" w:eastAsia="Times New Roman" w:cs="Times New Roman"/>
                <w:b w:val="0"/>
                <w:i w:val="0"/>
                <w:color w:val="000000"/>
                <w:sz w:val="24"/>
                <w:u w:val="none"/>
              </w:rPr>
              <w:t>4</w:t>
            </w:r>
          </w:p>
        </w:tc>
        <w:tc>
          <w:tcPr>
            <w:tcW w:w="2268" w:type="dxa"/>
            <w:tcMar>
              <w:top w:w="15" w:type="dxa"/>
              <w:left w:w="15" w:type="dxa"/>
              <w:bottom w:w="0" w:type="dxa"/>
              <w:right w:w="15" w:type="dxa"/>
            </w:tcMar>
          </w:tcPr>
          <w:p>
            <w:pPr>
              <w:jc w:val="center"/>
              <w:textAlignment w:val="auto"/>
            </w:pPr>
            <w:r>
              <w:rPr>
                <w:rFonts w:ascii="Times New Roman" w:hAnsi="Times New Roman" w:eastAsia="Times New Roman" w:cs="Times New Roman"/>
                <w:b w:val="0"/>
                <w:i w:val="0"/>
                <w:color w:val="000000"/>
                <w:sz w:val="24"/>
                <w:u w:val="none"/>
              </w:rPr>
              <w:t>19苏州高技PPN001</w:t>
            </w:r>
          </w:p>
        </w:tc>
        <w:tc>
          <w:tcPr>
            <w:tcW w:w="2835" w:type="dxa"/>
          </w:tcPr>
          <w:p>
            <w:pPr>
              <w:jc w:val="center"/>
              <w:textAlignment w:val="auto"/>
            </w:pPr>
            <w:r>
              <w:rPr>
                <w:rFonts w:ascii="Times New Roman" w:hAnsi="Times New Roman" w:eastAsia="Times New Roman" w:cs="Times New Roman"/>
                <w:b w:val="0"/>
                <w:i w:val="0"/>
                <w:color w:val="000000"/>
                <w:sz w:val="24"/>
                <w:u w:val="none"/>
              </w:rPr>
              <w:t>232,866,277.88</w:t>
            </w:r>
          </w:p>
        </w:tc>
        <w:tc>
          <w:tcPr>
            <w:tcW w:w="2835" w:type="dxa"/>
            <w:tcMar>
              <w:top w:w="15" w:type="dxa"/>
              <w:left w:w="15" w:type="dxa"/>
              <w:bottom w:w="0" w:type="dxa"/>
              <w:right w:w="15" w:type="dxa"/>
            </w:tcMar>
          </w:tcPr>
          <w:p>
            <w:pPr>
              <w:jc w:val="center"/>
              <w:textAlignment w:val="auto"/>
            </w:pPr>
            <w:r>
              <w:rPr>
                <w:rFonts w:ascii="Times New Roman" w:hAnsi="Times New Roman" w:eastAsia="Times New Roman" w:cs="Times New Roman"/>
                <w:b w:val="0"/>
                <w:i w:val="0"/>
                <w:color w:val="000000"/>
                <w:sz w:val="24"/>
                <w:u w:val="none"/>
              </w:rPr>
              <w:t>6.80%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c>
          <w:tcPr>
            <w:tcW w:w="1139" w:type="dxa"/>
          </w:tcPr>
          <w:p>
            <w:pPr>
              <w:jc w:val="center"/>
              <w:textAlignment w:val="auto"/>
            </w:pPr>
            <w:r>
              <w:rPr>
                <w:rFonts w:ascii="Times New Roman" w:hAnsi="Times New Roman" w:eastAsia="Times New Roman" w:cs="Times New Roman"/>
                <w:b w:val="0"/>
                <w:i w:val="0"/>
                <w:color w:val="000000"/>
                <w:sz w:val="24"/>
                <w:u w:val="none"/>
              </w:rPr>
              <w:t>5</w:t>
            </w:r>
          </w:p>
        </w:tc>
        <w:tc>
          <w:tcPr>
            <w:tcW w:w="2268" w:type="dxa"/>
            <w:tcMar>
              <w:top w:w="15" w:type="dxa"/>
              <w:left w:w="15" w:type="dxa"/>
              <w:bottom w:w="0" w:type="dxa"/>
              <w:right w:w="15" w:type="dxa"/>
            </w:tcMar>
          </w:tcPr>
          <w:p>
            <w:pPr>
              <w:jc w:val="center"/>
              <w:textAlignment w:val="auto"/>
            </w:pPr>
            <w:r>
              <w:rPr>
                <w:rFonts w:ascii="Times New Roman" w:hAnsi="Times New Roman" w:eastAsia="Times New Roman" w:cs="Times New Roman"/>
                <w:b w:val="0"/>
                <w:i w:val="0"/>
                <w:color w:val="000000"/>
                <w:sz w:val="24"/>
                <w:u w:val="none"/>
              </w:rPr>
              <w:t>20中广核MTN003</w:t>
            </w:r>
          </w:p>
        </w:tc>
        <w:tc>
          <w:tcPr>
            <w:tcW w:w="2835" w:type="dxa"/>
          </w:tcPr>
          <w:p>
            <w:pPr>
              <w:jc w:val="center"/>
              <w:textAlignment w:val="auto"/>
            </w:pPr>
            <w:r>
              <w:rPr>
                <w:rFonts w:ascii="Times New Roman" w:hAnsi="Times New Roman" w:eastAsia="Times New Roman" w:cs="Times New Roman"/>
                <w:b w:val="0"/>
                <w:i w:val="0"/>
                <w:color w:val="000000"/>
                <w:sz w:val="24"/>
                <w:u w:val="none"/>
              </w:rPr>
              <w:t>201,800,000.00</w:t>
            </w:r>
          </w:p>
        </w:tc>
        <w:tc>
          <w:tcPr>
            <w:tcW w:w="2835" w:type="dxa"/>
            <w:tcMar>
              <w:top w:w="15" w:type="dxa"/>
              <w:left w:w="15" w:type="dxa"/>
              <w:bottom w:w="0" w:type="dxa"/>
              <w:right w:w="15" w:type="dxa"/>
            </w:tcMar>
          </w:tcPr>
          <w:p>
            <w:pPr>
              <w:jc w:val="center"/>
              <w:textAlignment w:val="auto"/>
            </w:pPr>
            <w:r>
              <w:rPr>
                <w:rFonts w:ascii="Times New Roman" w:hAnsi="Times New Roman" w:eastAsia="Times New Roman" w:cs="Times New Roman"/>
                <w:b w:val="0"/>
                <w:i w:val="0"/>
                <w:color w:val="000000"/>
                <w:sz w:val="24"/>
                <w:u w:val="none"/>
              </w:rPr>
              <w:t>5.89%</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c>
          <w:tcPr>
            <w:tcW w:w="1139" w:type="dxa"/>
          </w:tcPr>
          <w:p>
            <w:pPr>
              <w:jc w:val="center"/>
              <w:textAlignment w:val="auto"/>
            </w:pPr>
            <w:r>
              <w:rPr>
                <w:rFonts w:ascii="Times New Roman" w:hAnsi="Times New Roman" w:eastAsia="Times New Roman" w:cs="Times New Roman"/>
                <w:b w:val="0"/>
                <w:i w:val="0"/>
                <w:color w:val="000000"/>
                <w:sz w:val="24"/>
                <w:u w:val="none"/>
              </w:rPr>
              <w:t>6</w:t>
            </w:r>
          </w:p>
        </w:tc>
        <w:tc>
          <w:tcPr>
            <w:tcW w:w="2268" w:type="dxa"/>
            <w:tcMar>
              <w:top w:w="15" w:type="dxa"/>
              <w:left w:w="15" w:type="dxa"/>
              <w:bottom w:w="0" w:type="dxa"/>
              <w:right w:w="15" w:type="dxa"/>
            </w:tcMar>
          </w:tcPr>
          <w:p>
            <w:pPr>
              <w:jc w:val="center"/>
              <w:textAlignment w:val="auto"/>
            </w:pPr>
            <w:r>
              <w:rPr>
                <w:rFonts w:ascii="Times New Roman" w:hAnsi="Times New Roman" w:eastAsia="Times New Roman" w:cs="Times New Roman"/>
                <w:b w:val="0"/>
                <w:i w:val="0"/>
                <w:color w:val="000000"/>
                <w:sz w:val="24"/>
                <w:u w:val="none"/>
              </w:rPr>
              <w:t>20融和融资PPN001</w:t>
            </w:r>
          </w:p>
        </w:tc>
        <w:tc>
          <w:tcPr>
            <w:tcW w:w="2835" w:type="dxa"/>
          </w:tcPr>
          <w:p>
            <w:pPr>
              <w:jc w:val="center"/>
              <w:textAlignment w:val="auto"/>
            </w:pPr>
            <w:r>
              <w:rPr>
                <w:rFonts w:ascii="Times New Roman" w:hAnsi="Times New Roman" w:eastAsia="Times New Roman" w:cs="Times New Roman"/>
                <w:b w:val="0"/>
                <w:i w:val="0"/>
                <w:color w:val="000000"/>
                <w:sz w:val="24"/>
                <w:u w:val="none"/>
              </w:rPr>
              <w:t>180,446,895.30</w:t>
            </w:r>
          </w:p>
        </w:tc>
        <w:tc>
          <w:tcPr>
            <w:tcW w:w="2835" w:type="dxa"/>
            <w:tcMar>
              <w:top w:w="15" w:type="dxa"/>
              <w:left w:w="15" w:type="dxa"/>
              <w:bottom w:w="0" w:type="dxa"/>
              <w:right w:w="15" w:type="dxa"/>
            </w:tcMar>
          </w:tcPr>
          <w:p>
            <w:pPr>
              <w:jc w:val="center"/>
              <w:textAlignment w:val="auto"/>
            </w:pPr>
            <w:r>
              <w:rPr>
                <w:rFonts w:ascii="Times New Roman" w:hAnsi="Times New Roman" w:eastAsia="Times New Roman" w:cs="Times New Roman"/>
                <w:b w:val="0"/>
                <w:i w:val="0"/>
                <w:color w:val="000000"/>
                <w:sz w:val="24"/>
                <w:u w:val="none"/>
              </w:rPr>
              <w:t>5.27%</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c>
          <w:tcPr>
            <w:tcW w:w="1139" w:type="dxa"/>
          </w:tcPr>
          <w:p>
            <w:pPr>
              <w:jc w:val="center"/>
              <w:textAlignment w:val="auto"/>
            </w:pPr>
            <w:r>
              <w:rPr>
                <w:rFonts w:ascii="Times New Roman" w:hAnsi="Times New Roman" w:eastAsia="Times New Roman" w:cs="Times New Roman"/>
                <w:b w:val="0"/>
                <w:i w:val="0"/>
                <w:color w:val="000000"/>
                <w:sz w:val="24"/>
                <w:u w:val="none"/>
              </w:rPr>
              <w:t>7</w:t>
            </w:r>
          </w:p>
        </w:tc>
        <w:tc>
          <w:tcPr>
            <w:tcW w:w="2268" w:type="dxa"/>
            <w:tcMar>
              <w:top w:w="15" w:type="dxa"/>
              <w:left w:w="15" w:type="dxa"/>
              <w:bottom w:w="0" w:type="dxa"/>
              <w:right w:w="15" w:type="dxa"/>
            </w:tcMar>
          </w:tcPr>
          <w:p>
            <w:pPr>
              <w:jc w:val="center"/>
              <w:textAlignment w:val="auto"/>
            </w:pPr>
            <w:r>
              <w:rPr>
                <w:rFonts w:ascii="Times New Roman" w:hAnsi="Times New Roman" w:eastAsia="Times New Roman" w:cs="Times New Roman"/>
                <w:b w:val="0"/>
                <w:i w:val="0"/>
                <w:color w:val="000000"/>
                <w:sz w:val="24"/>
                <w:u w:val="none"/>
              </w:rPr>
              <w:t>20三峡MTN001</w:t>
            </w:r>
          </w:p>
        </w:tc>
        <w:tc>
          <w:tcPr>
            <w:tcW w:w="2835" w:type="dxa"/>
          </w:tcPr>
          <w:p>
            <w:pPr>
              <w:jc w:val="center"/>
              <w:textAlignment w:val="auto"/>
            </w:pPr>
            <w:r>
              <w:rPr>
                <w:rFonts w:ascii="Times New Roman" w:hAnsi="Times New Roman" w:eastAsia="Times New Roman" w:cs="Times New Roman"/>
                <w:b w:val="0"/>
                <w:i w:val="0"/>
                <w:color w:val="000000"/>
                <w:sz w:val="24"/>
                <w:u w:val="none"/>
              </w:rPr>
              <w:t>167,985,633.12</w:t>
            </w:r>
          </w:p>
        </w:tc>
        <w:tc>
          <w:tcPr>
            <w:tcW w:w="2835" w:type="dxa"/>
            <w:tcMar>
              <w:top w:w="15" w:type="dxa"/>
              <w:left w:w="15" w:type="dxa"/>
              <w:bottom w:w="0" w:type="dxa"/>
              <w:right w:w="15" w:type="dxa"/>
            </w:tcMar>
          </w:tcPr>
          <w:p>
            <w:pPr>
              <w:jc w:val="center"/>
              <w:textAlignment w:val="auto"/>
            </w:pPr>
            <w:r>
              <w:rPr>
                <w:rFonts w:ascii="Times New Roman" w:hAnsi="Times New Roman" w:eastAsia="Times New Roman" w:cs="Times New Roman"/>
                <w:b w:val="0"/>
                <w:i w:val="0"/>
                <w:color w:val="000000"/>
                <w:sz w:val="24"/>
                <w:u w:val="none"/>
              </w:rPr>
              <w:t>4.90%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c>
          <w:tcPr>
            <w:tcW w:w="1139" w:type="dxa"/>
          </w:tcPr>
          <w:p>
            <w:pPr>
              <w:jc w:val="center"/>
              <w:textAlignment w:val="auto"/>
            </w:pPr>
            <w:r>
              <w:rPr>
                <w:rFonts w:ascii="Times New Roman" w:hAnsi="Times New Roman" w:eastAsia="Times New Roman" w:cs="Times New Roman"/>
                <w:b w:val="0"/>
                <w:i w:val="0"/>
                <w:color w:val="000000"/>
                <w:sz w:val="24"/>
                <w:u w:val="none"/>
              </w:rPr>
              <w:t>8</w:t>
            </w:r>
          </w:p>
        </w:tc>
        <w:tc>
          <w:tcPr>
            <w:tcW w:w="2268" w:type="dxa"/>
            <w:tcMar>
              <w:top w:w="15" w:type="dxa"/>
              <w:left w:w="15" w:type="dxa"/>
              <w:bottom w:w="0" w:type="dxa"/>
              <w:right w:w="15" w:type="dxa"/>
            </w:tcMar>
          </w:tcPr>
          <w:p>
            <w:pPr>
              <w:jc w:val="center"/>
              <w:textAlignment w:val="auto"/>
            </w:pPr>
            <w:r>
              <w:rPr>
                <w:rFonts w:ascii="Times New Roman" w:hAnsi="Times New Roman" w:eastAsia="Times New Roman" w:cs="Times New Roman"/>
                <w:b w:val="0"/>
                <w:i w:val="0"/>
                <w:color w:val="000000"/>
                <w:sz w:val="24"/>
                <w:u w:val="none"/>
              </w:rPr>
              <w:t>18宁波海城PPN002</w:t>
            </w:r>
          </w:p>
        </w:tc>
        <w:tc>
          <w:tcPr>
            <w:tcW w:w="2835" w:type="dxa"/>
          </w:tcPr>
          <w:p>
            <w:pPr>
              <w:jc w:val="center"/>
              <w:textAlignment w:val="auto"/>
            </w:pPr>
            <w:r>
              <w:rPr>
                <w:rFonts w:ascii="Times New Roman" w:hAnsi="Times New Roman" w:eastAsia="Times New Roman" w:cs="Times New Roman"/>
                <w:b w:val="0"/>
                <w:i w:val="0"/>
                <w:color w:val="000000"/>
                <w:sz w:val="24"/>
                <w:u w:val="none"/>
              </w:rPr>
              <w:t>151,488,088.68</w:t>
            </w:r>
          </w:p>
        </w:tc>
        <w:tc>
          <w:tcPr>
            <w:tcW w:w="2835" w:type="dxa"/>
            <w:tcMar>
              <w:top w:w="15" w:type="dxa"/>
              <w:left w:w="15" w:type="dxa"/>
              <w:bottom w:w="0" w:type="dxa"/>
              <w:right w:w="15" w:type="dxa"/>
            </w:tcMar>
          </w:tcPr>
          <w:p>
            <w:pPr>
              <w:jc w:val="center"/>
              <w:textAlignment w:val="auto"/>
            </w:pPr>
            <w:r>
              <w:rPr>
                <w:rFonts w:ascii="Times New Roman" w:hAnsi="Times New Roman" w:eastAsia="Times New Roman" w:cs="Times New Roman"/>
                <w:b w:val="0"/>
                <w:i w:val="0"/>
                <w:color w:val="000000"/>
                <w:sz w:val="24"/>
                <w:u w:val="none"/>
              </w:rPr>
              <w:t>4.42%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c>
          <w:tcPr>
            <w:tcW w:w="1139" w:type="dxa"/>
          </w:tcPr>
          <w:p>
            <w:pPr>
              <w:jc w:val="center"/>
              <w:textAlignment w:val="auto"/>
            </w:pPr>
            <w:r>
              <w:rPr>
                <w:rFonts w:ascii="Times New Roman" w:hAnsi="Times New Roman" w:eastAsia="Times New Roman" w:cs="Times New Roman"/>
                <w:b w:val="0"/>
                <w:i w:val="0"/>
                <w:color w:val="000000"/>
                <w:sz w:val="24"/>
                <w:u w:val="none"/>
              </w:rPr>
              <w:t>9</w:t>
            </w:r>
          </w:p>
        </w:tc>
        <w:tc>
          <w:tcPr>
            <w:tcW w:w="2268" w:type="dxa"/>
            <w:tcMar>
              <w:top w:w="15" w:type="dxa"/>
              <w:left w:w="15" w:type="dxa"/>
              <w:bottom w:w="0" w:type="dxa"/>
              <w:right w:w="15" w:type="dxa"/>
            </w:tcMar>
          </w:tcPr>
          <w:p>
            <w:pPr>
              <w:jc w:val="center"/>
              <w:textAlignment w:val="auto"/>
            </w:pPr>
            <w:r>
              <w:rPr>
                <w:rFonts w:ascii="Times New Roman" w:hAnsi="Times New Roman" w:eastAsia="Times New Roman" w:cs="Times New Roman"/>
                <w:b w:val="0"/>
                <w:i w:val="0"/>
                <w:color w:val="000000"/>
                <w:sz w:val="24"/>
                <w:u w:val="none"/>
              </w:rPr>
              <w:t>18国开12</w:t>
            </w:r>
          </w:p>
        </w:tc>
        <w:tc>
          <w:tcPr>
            <w:tcW w:w="2835" w:type="dxa"/>
          </w:tcPr>
          <w:p>
            <w:pPr>
              <w:jc w:val="center"/>
              <w:textAlignment w:val="auto"/>
            </w:pPr>
            <w:r>
              <w:rPr>
                <w:rFonts w:ascii="Times New Roman" w:hAnsi="Times New Roman" w:eastAsia="Times New Roman" w:cs="Times New Roman"/>
                <w:b w:val="0"/>
                <w:i w:val="0"/>
                <w:color w:val="000000"/>
                <w:sz w:val="24"/>
                <w:u w:val="none"/>
              </w:rPr>
              <w:t>130,429,000.00</w:t>
            </w:r>
          </w:p>
        </w:tc>
        <w:tc>
          <w:tcPr>
            <w:tcW w:w="2835" w:type="dxa"/>
            <w:tcMar>
              <w:top w:w="15" w:type="dxa"/>
              <w:left w:w="15" w:type="dxa"/>
              <w:bottom w:w="0" w:type="dxa"/>
              <w:right w:w="15" w:type="dxa"/>
            </w:tcMar>
          </w:tcPr>
          <w:p>
            <w:pPr>
              <w:jc w:val="center"/>
              <w:textAlignment w:val="auto"/>
            </w:pPr>
            <w:r>
              <w:rPr>
                <w:rFonts w:ascii="Times New Roman" w:hAnsi="Times New Roman" w:eastAsia="Times New Roman" w:cs="Times New Roman"/>
                <w:b w:val="0"/>
                <w:i w:val="0"/>
                <w:color w:val="000000"/>
                <w:sz w:val="24"/>
                <w:u w:val="none"/>
              </w:rPr>
              <w:t>3.81%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c>
          <w:tcPr>
            <w:tcW w:w="1139" w:type="dxa"/>
          </w:tcPr>
          <w:p>
            <w:pPr>
              <w:jc w:val="center"/>
              <w:textAlignment w:val="auto"/>
            </w:pPr>
            <w:r>
              <w:rPr>
                <w:rFonts w:ascii="Times New Roman" w:hAnsi="Times New Roman" w:eastAsia="Times New Roman" w:cs="Times New Roman"/>
                <w:b w:val="0"/>
                <w:i w:val="0"/>
                <w:color w:val="000000"/>
                <w:sz w:val="24"/>
                <w:u w:val="none"/>
              </w:rPr>
              <w:t>10</w:t>
            </w:r>
          </w:p>
        </w:tc>
        <w:tc>
          <w:tcPr>
            <w:tcW w:w="2268" w:type="dxa"/>
            <w:tcMar>
              <w:top w:w="15" w:type="dxa"/>
              <w:left w:w="15" w:type="dxa"/>
              <w:bottom w:w="0" w:type="dxa"/>
              <w:right w:w="15" w:type="dxa"/>
            </w:tcMar>
          </w:tcPr>
          <w:p>
            <w:pPr>
              <w:jc w:val="center"/>
              <w:textAlignment w:val="auto"/>
            </w:pPr>
            <w:r>
              <w:rPr>
                <w:rFonts w:ascii="Times New Roman" w:hAnsi="Times New Roman" w:eastAsia="Times New Roman" w:cs="Times New Roman"/>
                <w:b w:val="0"/>
                <w:i w:val="0"/>
                <w:color w:val="000000"/>
                <w:sz w:val="24"/>
                <w:u w:val="none"/>
              </w:rPr>
              <w:t>20江北新区PPN002</w:t>
            </w:r>
          </w:p>
        </w:tc>
        <w:tc>
          <w:tcPr>
            <w:tcW w:w="2835" w:type="dxa"/>
          </w:tcPr>
          <w:p>
            <w:pPr>
              <w:jc w:val="center"/>
              <w:textAlignment w:val="auto"/>
            </w:pPr>
            <w:r>
              <w:rPr>
                <w:rFonts w:ascii="Times New Roman" w:hAnsi="Times New Roman" w:eastAsia="Times New Roman" w:cs="Times New Roman"/>
                <w:b w:val="0"/>
                <w:i w:val="0"/>
                <w:color w:val="000000"/>
                <w:sz w:val="24"/>
                <w:u w:val="none"/>
              </w:rPr>
              <w:t>119,523,999.51</w:t>
            </w:r>
          </w:p>
        </w:tc>
        <w:tc>
          <w:tcPr>
            <w:tcW w:w="2835" w:type="dxa"/>
            <w:tcMar>
              <w:top w:w="15" w:type="dxa"/>
              <w:left w:w="15" w:type="dxa"/>
              <w:bottom w:w="0" w:type="dxa"/>
              <w:right w:w="15" w:type="dxa"/>
            </w:tcMar>
          </w:tcPr>
          <w:p>
            <w:pPr>
              <w:jc w:val="center"/>
              <w:textAlignment w:val="auto"/>
            </w:pPr>
            <w:r>
              <w:rPr>
                <w:rFonts w:ascii="Times New Roman" w:hAnsi="Times New Roman" w:eastAsia="Times New Roman" w:cs="Times New Roman"/>
                <w:b w:val="0"/>
                <w:i w:val="0"/>
                <w:color w:val="000000"/>
                <w:sz w:val="24"/>
                <w:u w:val="none"/>
              </w:rPr>
              <w:t>3.49%</w:t>
            </w:r>
          </w:p>
        </w:tc>
      </w:tr>
    </w:tbl>
    <w:p>
      <w:pPr>
        <w:rPr>
          <w:rFonts w:ascii="仿宋_GB2312" w:hAnsi="Calibri" w:eastAsia="仿宋_GB2312"/>
          <w:sz w:val="24"/>
          <w:szCs w:val="24"/>
        </w:rPr>
      </w:pPr>
    </w:p>
    <w:p>
      <w:pPr>
        <w:adjustRightInd w:val="0"/>
        <w:snapToGrid w:val="0"/>
        <w:spacing w:line="360" w:lineRule="auto"/>
        <w:ind w:firstLine="482" w:firstLineChars="200"/>
        <w:rPr>
          <w:rFonts w:ascii="仿宋_GB2312" w:eastAsia="仿宋_GB2312" w:hAnsiTheme="minorEastAsia"/>
          <w:b/>
          <w:bCs/>
          <w:sz w:val="24"/>
          <w:szCs w:val="24"/>
        </w:rPr>
      </w:pPr>
      <w:r>
        <w:rPr>
          <w:rFonts w:ascii="仿宋_GB2312" w:eastAsia="仿宋_GB2312"/>
          <w:b/>
          <w:bCs/>
          <w:sz w:val="24"/>
          <w:szCs w:val="24"/>
        </w:rPr>
        <w:t xml:space="preserve"> </w:t>
      </w:r>
      <w:r>
        <w:rPr>
          <w:rFonts w:ascii="仿宋_GB2312" w:eastAsia="仿宋_GB2312" w:hAnsiTheme="minorEastAsia"/>
          <w:b/>
          <w:bCs/>
          <w:sz w:val="24"/>
          <w:szCs w:val="24"/>
        </w:rPr>
        <w:t>4.4报告期末非标准化债权</w:t>
      </w:r>
      <w:r>
        <w:rPr>
          <w:rStyle w:val="8"/>
          <w:rFonts w:ascii="仿宋_GB2312" w:eastAsia="仿宋_GB2312" w:hAnsiTheme="minorEastAsia"/>
          <w:b/>
          <w:bCs/>
          <w:sz w:val="24"/>
          <w:szCs w:val="24"/>
        </w:rPr>
        <w:footnoteReference w:id="1"/>
      </w:r>
      <w:r>
        <w:rPr>
          <w:rFonts w:hint="eastAsia" w:ascii="仿宋_GB2312" w:eastAsia="仿宋_GB2312" w:hAnsiTheme="minorEastAsia"/>
          <w:b/>
          <w:bCs/>
          <w:sz w:val="24"/>
          <w:szCs w:val="24"/>
        </w:rPr>
        <w:t>投资明细（选填）</w:t>
      </w:r>
    </w:p>
    <w:tbl>
      <w:tblPr>
        <w:tblStyle w:val="9"/>
        <w:tblW w:w="907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1134"/>
        <w:gridCol w:w="1312"/>
        <w:gridCol w:w="1382"/>
        <w:gridCol w:w="1419"/>
        <w:gridCol w:w="29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 w:type="dxa"/>
            <w:vAlign w:val="center"/>
          </w:tcPr>
          <w:p>
            <w:pPr>
              <w:adjustRightInd w:val="0"/>
              <w:snapToGrid w:val="0"/>
              <w:spacing w:line="360" w:lineRule="auto"/>
              <w:jc w:val="center"/>
              <w:rPr>
                <w:rFonts w:ascii="仿宋_GB2312" w:eastAsia="仿宋_GB2312" w:hAnsiTheme="minorEastAsia"/>
                <w:bCs/>
                <w:sz w:val="24"/>
                <w:szCs w:val="24"/>
              </w:rPr>
            </w:pPr>
            <w:r>
              <w:rPr>
                <w:rFonts w:hint="eastAsia" w:ascii="仿宋_GB2312" w:eastAsia="仿宋_GB2312" w:hAnsiTheme="minorEastAsia"/>
                <w:bCs/>
                <w:sz w:val="24"/>
                <w:szCs w:val="24"/>
              </w:rPr>
              <w:t>序号</w:t>
            </w:r>
          </w:p>
        </w:tc>
        <w:tc>
          <w:tcPr>
            <w:tcW w:w="1134" w:type="dxa"/>
            <w:vAlign w:val="center"/>
          </w:tcPr>
          <w:p>
            <w:pPr>
              <w:adjustRightInd w:val="0"/>
              <w:snapToGrid w:val="0"/>
              <w:spacing w:line="360" w:lineRule="auto"/>
              <w:jc w:val="center"/>
              <w:rPr>
                <w:rFonts w:ascii="仿宋_GB2312" w:eastAsia="仿宋_GB2312" w:hAnsiTheme="minorEastAsia"/>
                <w:bCs/>
                <w:sz w:val="24"/>
                <w:szCs w:val="24"/>
              </w:rPr>
            </w:pPr>
            <w:r>
              <w:rPr>
                <w:rFonts w:hint="eastAsia" w:ascii="仿宋_GB2312" w:eastAsia="仿宋_GB2312" w:hAnsiTheme="minorEastAsia"/>
                <w:bCs/>
                <w:sz w:val="24"/>
                <w:szCs w:val="24"/>
              </w:rPr>
              <w:t>融资客户</w:t>
            </w:r>
          </w:p>
        </w:tc>
        <w:tc>
          <w:tcPr>
            <w:tcW w:w="1312" w:type="dxa"/>
            <w:vAlign w:val="center"/>
          </w:tcPr>
          <w:p>
            <w:pPr>
              <w:adjustRightInd w:val="0"/>
              <w:snapToGrid w:val="0"/>
              <w:spacing w:line="360" w:lineRule="auto"/>
              <w:jc w:val="center"/>
              <w:rPr>
                <w:rFonts w:ascii="仿宋_GB2312" w:eastAsia="仿宋_GB2312" w:hAnsiTheme="minorEastAsia"/>
                <w:bCs/>
                <w:sz w:val="24"/>
                <w:szCs w:val="24"/>
              </w:rPr>
            </w:pPr>
            <w:r>
              <w:rPr>
                <w:rFonts w:hint="eastAsia" w:ascii="仿宋_GB2312" w:eastAsia="仿宋_GB2312" w:hAnsiTheme="minorEastAsia"/>
                <w:bCs/>
                <w:sz w:val="24"/>
                <w:szCs w:val="24"/>
              </w:rPr>
              <w:t>资产名称</w:t>
            </w:r>
          </w:p>
        </w:tc>
        <w:tc>
          <w:tcPr>
            <w:tcW w:w="1382" w:type="dxa"/>
            <w:vAlign w:val="center"/>
          </w:tcPr>
          <w:p>
            <w:pPr>
              <w:adjustRightInd w:val="0"/>
              <w:snapToGrid w:val="0"/>
              <w:spacing w:line="360" w:lineRule="auto"/>
              <w:jc w:val="center"/>
              <w:rPr>
                <w:rFonts w:ascii="仿宋_GB2312" w:eastAsia="仿宋_GB2312" w:hAnsiTheme="minorEastAsia"/>
                <w:bCs/>
                <w:sz w:val="24"/>
                <w:szCs w:val="24"/>
              </w:rPr>
            </w:pPr>
            <w:r>
              <w:rPr>
                <w:rFonts w:hint="eastAsia" w:ascii="仿宋_GB2312" w:eastAsia="仿宋_GB2312" w:hAnsiTheme="minorEastAsia"/>
                <w:bCs/>
                <w:sz w:val="24"/>
                <w:szCs w:val="24"/>
              </w:rPr>
              <w:t>剩余融资期限</w:t>
            </w:r>
          </w:p>
        </w:tc>
        <w:tc>
          <w:tcPr>
            <w:tcW w:w="1419" w:type="dxa"/>
            <w:vAlign w:val="center"/>
          </w:tcPr>
          <w:p>
            <w:pPr>
              <w:adjustRightInd w:val="0"/>
              <w:snapToGrid w:val="0"/>
              <w:spacing w:line="360" w:lineRule="auto"/>
              <w:jc w:val="center"/>
              <w:rPr>
                <w:rFonts w:ascii="仿宋_GB2312" w:eastAsia="仿宋_GB2312" w:hAnsiTheme="minorEastAsia"/>
                <w:bCs/>
                <w:sz w:val="24"/>
                <w:szCs w:val="24"/>
              </w:rPr>
            </w:pPr>
            <w:r>
              <w:rPr>
                <w:rFonts w:hint="eastAsia" w:ascii="仿宋_GB2312" w:eastAsia="仿宋_GB2312" w:hAnsiTheme="minorEastAsia"/>
                <w:bCs/>
                <w:sz w:val="24"/>
                <w:szCs w:val="24"/>
              </w:rPr>
              <w:t>交易结构</w:t>
            </w:r>
          </w:p>
        </w:tc>
        <w:tc>
          <w:tcPr>
            <w:tcW w:w="2972" w:type="dxa"/>
            <w:vAlign w:val="center"/>
          </w:tcPr>
          <w:p>
            <w:pPr>
              <w:adjustRightInd w:val="0"/>
              <w:snapToGrid w:val="0"/>
              <w:spacing w:line="360" w:lineRule="auto"/>
              <w:jc w:val="center"/>
              <w:rPr>
                <w:rFonts w:ascii="仿宋_GB2312" w:eastAsia="仿宋_GB2312" w:hAnsiTheme="minorEastAsia"/>
                <w:bCs/>
                <w:sz w:val="24"/>
                <w:szCs w:val="24"/>
              </w:rPr>
            </w:pPr>
            <w:r>
              <w:rPr>
                <w:rFonts w:hint="eastAsia" w:ascii="仿宋_GB2312" w:eastAsia="仿宋_GB2312" w:hAnsiTheme="minorEastAsia"/>
                <w:bCs/>
                <w:sz w:val="24"/>
                <w:szCs w:val="24"/>
              </w:rPr>
              <w:t>占产品资产净值比例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 w:type="dxa"/>
            <w:vAlign w:val="center"/>
          </w:tcPr>
          <w:p>
            <w:pPr>
              <w:adjustRightInd w:val="0"/>
              <w:snapToGrid w:val="0"/>
              <w:spacing w:line="360" w:lineRule="auto"/>
              <w:jc w:val="center"/>
              <w:rPr>
                <w:rFonts w:ascii="仿宋_GB2312" w:eastAsia="仿宋_GB2312" w:hAnsiTheme="minorEastAsia"/>
                <w:bCs/>
                <w:sz w:val="24"/>
                <w:szCs w:val="24"/>
              </w:rPr>
            </w:pPr>
            <w:r>
              <w:rPr>
                <w:rFonts w:ascii="仿宋_GB2312" w:hAnsi="Calibri" w:eastAsia="仿宋_GB2312" w:cs="宋体"/>
                <w:color w:val="000000"/>
                <w:sz w:val="24"/>
                <w:szCs w:val="24"/>
              </w:rPr>
              <w:t>-</w:t>
            </w:r>
          </w:p>
        </w:tc>
        <w:tc>
          <w:tcPr>
            <w:tcW w:w="1134" w:type="dxa"/>
            <w:vAlign w:val="center"/>
          </w:tcPr>
          <w:p>
            <w:pPr>
              <w:adjustRightInd w:val="0"/>
              <w:snapToGrid w:val="0"/>
              <w:spacing w:line="360" w:lineRule="auto"/>
              <w:jc w:val="center"/>
              <w:rPr>
                <w:rFonts w:ascii="仿宋_GB2312" w:eastAsia="仿宋_GB2312" w:hAnsiTheme="minorEastAsia"/>
                <w:bCs/>
                <w:sz w:val="24"/>
                <w:szCs w:val="24"/>
              </w:rPr>
            </w:pPr>
            <w:r>
              <w:rPr>
                <w:rFonts w:ascii="仿宋_GB2312" w:hAnsi="Calibri" w:eastAsia="仿宋_GB2312" w:cs="宋体"/>
                <w:color w:val="000000"/>
                <w:sz w:val="24"/>
                <w:szCs w:val="24"/>
              </w:rPr>
              <w:t>-</w:t>
            </w:r>
          </w:p>
        </w:tc>
        <w:tc>
          <w:tcPr>
            <w:tcW w:w="1312" w:type="dxa"/>
            <w:vAlign w:val="center"/>
          </w:tcPr>
          <w:p>
            <w:pPr>
              <w:adjustRightInd w:val="0"/>
              <w:snapToGrid w:val="0"/>
              <w:spacing w:line="360" w:lineRule="auto"/>
              <w:jc w:val="center"/>
              <w:rPr>
                <w:rFonts w:ascii="仿宋_GB2312" w:eastAsia="仿宋_GB2312" w:hAnsiTheme="minorEastAsia"/>
                <w:bCs/>
                <w:sz w:val="24"/>
                <w:szCs w:val="24"/>
              </w:rPr>
            </w:pPr>
            <w:r>
              <w:rPr>
                <w:rFonts w:ascii="仿宋_GB2312" w:hAnsi="Calibri" w:eastAsia="仿宋_GB2312" w:cs="宋体"/>
                <w:color w:val="000000"/>
                <w:sz w:val="24"/>
                <w:szCs w:val="24"/>
              </w:rPr>
              <w:t>-</w:t>
            </w:r>
          </w:p>
        </w:tc>
        <w:tc>
          <w:tcPr>
            <w:tcW w:w="1382" w:type="dxa"/>
            <w:vAlign w:val="center"/>
          </w:tcPr>
          <w:p>
            <w:pPr>
              <w:adjustRightInd w:val="0"/>
              <w:snapToGrid w:val="0"/>
              <w:spacing w:line="360" w:lineRule="auto"/>
              <w:jc w:val="center"/>
              <w:rPr>
                <w:rFonts w:ascii="仿宋_GB2312" w:eastAsia="仿宋_GB2312" w:hAnsiTheme="minorEastAsia"/>
                <w:bCs/>
                <w:sz w:val="24"/>
                <w:szCs w:val="24"/>
              </w:rPr>
            </w:pPr>
            <w:r>
              <w:rPr>
                <w:rFonts w:ascii="仿宋_GB2312" w:hAnsi="Calibri" w:eastAsia="仿宋_GB2312" w:cs="宋体"/>
                <w:color w:val="000000"/>
                <w:sz w:val="24"/>
                <w:szCs w:val="24"/>
              </w:rPr>
              <w:t>-</w:t>
            </w:r>
          </w:p>
        </w:tc>
        <w:tc>
          <w:tcPr>
            <w:tcW w:w="1419" w:type="dxa"/>
            <w:vAlign w:val="center"/>
          </w:tcPr>
          <w:p>
            <w:pPr>
              <w:adjustRightInd w:val="0"/>
              <w:snapToGrid w:val="0"/>
              <w:spacing w:line="360" w:lineRule="auto"/>
              <w:jc w:val="center"/>
              <w:rPr>
                <w:rFonts w:ascii="仿宋_GB2312" w:eastAsia="仿宋_GB2312" w:hAnsiTheme="minorEastAsia"/>
                <w:bCs/>
                <w:sz w:val="24"/>
                <w:szCs w:val="24"/>
              </w:rPr>
            </w:pPr>
            <w:r>
              <w:rPr>
                <w:rFonts w:ascii="仿宋_GB2312" w:eastAsia="仿宋_GB2312" w:hAnsiTheme="minorEastAsia"/>
                <w:bCs/>
                <w:sz w:val="24"/>
                <w:szCs w:val="24"/>
              </w:rPr>
              <w:t>-</w:t>
            </w:r>
          </w:p>
        </w:tc>
        <w:tc>
          <w:tcPr>
            <w:tcW w:w="2972" w:type="dxa"/>
            <w:vAlign w:val="center"/>
          </w:tcPr>
          <w:p>
            <w:pPr>
              <w:adjustRightInd w:val="0"/>
              <w:snapToGrid w:val="0"/>
              <w:spacing w:line="360" w:lineRule="auto"/>
              <w:jc w:val="center"/>
              <w:rPr>
                <w:rFonts w:ascii="仿宋_GB2312" w:eastAsia="仿宋_GB2312" w:hAnsiTheme="minorEastAsia"/>
                <w:bCs/>
                <w:sz w:val="24"/>
                <w:szCs w:val="24"/>
              </w:rPr>
            </w:pPr>
            <w:r>
              <w:rPr>
                <w:rFonts w:ascii="仿宋_GB2312" w:eastAsia="仿宋_GB2312" w:hAnsiTheme="minorEastAsia"/>
                <w:bCs/>
                <w:sz w:val="24"/>
                <w:szCs w:val="24"/>
              </w:rPr>
              <w:t>-</w:t>
            </w:r>
          </w:p>
        </w:tc>
      </w:tr>
    </w:tbl>
    <w:p>
      <w:pPr>
        <w:adjustRightInd w:val="0"/>
        <w:snapToGrid w:val="0"/>
        <w:spacing w:line="360" w:lineRule="auto"/>
        <w:rPr>
          <w:rFonts w:ascii="仿宋_GB2312" w:eastAsia="仿宋_GB2312" w:hAnsiTheme="minorEastAsia"/>
          <w:bCs/>
          <w:sz w:val="24"/>
          <w:szCs w:val="24"/>
        </w:rPr>
      </w:pPr>
      <w:r>
        <w:rPr>
          <w:rFonts w:hint="eastAsia" w:ascii="仿宋_GB2312" w:eastAsia="仿宋_GB2312" w:hAnsiTheme="minorEastAsia"/>
          <w:bCs/>
          <w:sz w:val="24"/>
          <w:szCs w:val="24"/>
        </w:rPr>
        <w:t>注：</w:t>
      </w:r>
      <w:r>
        <w:rPr>
          <w:rFonts w:ascii="仿宋_GB2312" w:eastAsia="仿宋_GB2312" w:hAnsiTheme="minorEastAsia"/>
          <w:bCs/>
          <w:sz w:val="24"/>
          <w:szCs w:val="24"/>
        </w:rPr>
        <w:t>1.截至期末，上述非标准化债权均按照合同约定按时分配收益；</w:t>
      </w:r>
    </w:p>
    <w:p>
      <w:pPr>
        <w:snapToGrid w:val="0"/>
        <w:spacing w:line="360" w:lineRule="auto"/>
        <w:ind w:firstLine="480"/>
        <w:rPr>
          <w:rFonts w:ascii="仿宋_GB2312" w:eastAsia="仿宋_GB2312" w:hAnsiTheme="minorEastAsia"/>
          <w:bCs/>
          <w:sz w:val="24"/>
          <w:szCs w:val="24"/>
        </w:rPr>
      </w:pPr>
      <w:r>
        <w:rPr>
          <w:rFonts w:ascii="仿宋_GB2312" w:eastAsia="仿宋_GB2312" w:hAnsiTheme="minorEastAsia"/>
          <w:bCs/>
          <w:sz w:val="24"/>
          <w:szCs w:val="24"/>
        </w:rPr>
        <w:t>2.截至期末，上述非标准化债权未出现无法履行本金及收益兑付的实际情况。</w:t>
      </w:r>
    </w:p>
    <w:p>
      <w:pPr>
        <w:snapToGrid w:val="0"/>
        <w:spacing w:line="360" w:lineRule="auto"/>
        <w:rPr>
          <w:rFonts w:ascii="仿宋_GB2312" w:eastAsia="仿宋_GB2312"/>
          <w:b/>
          <w:sz w:val="24"/>
          <w:szCs w:val="24"/>
        </w:rPr>
      </w:pPr>
      <w:r>
        <w:rPr>
          <w:rFonts w:hint="eastAsia" w:ascii="仿宋_GB2312" w:eastAsia="仿宋_GB2312"/>
          <w:b/>
          <w:sz w:val="24"/>
          <w:szCs w:val="24"/>
        </w:rPr>
        <w:t>5</w:t>
      </w:r>
      <w:r>
        <w:rPr>
          <w:rFonts w:ascii="仿宋_GB2312" w:eastAsia="仿宋_GB2312"/>
          <w:b/>
          <w:sz w:val="24"/>
          <w:szCs w:val="24"/>
        </w:rPr>
        <w:t> </w:t>
      </w:r>
      <w:r>
        <w:rPr>
          <w:rFonts w:hint="eastAsia" w:ascii="仿宋_GB2312" w:eastAsia="仿宋_GB2312"/>
          <w:b/>
          <w:sz w:val="24"/>
          <w:szCs w:val="24"/>
        </w:rPr>
        <w:t>.关联交易（如有）</w:t>
      </w:r>
    </w:p>
    <w:tbl>
      <w:tblPr>
        <w:tblStyle w:val="10"/>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694"/>
        <w:gridCol w:w="857"/>
        <w:gridCol w:w="1134"/>
        <w:gridCol w:w="1276"/>
        <w:gridCol w:w="3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tcBorders>
              <w:top w:val="single" w:color="auto" w:sz="4" w:space="0"/>
              <w:left w:val="single" w:color="auto" w:sz="4" w:space="0"/>
              <w:bottom w:val="single" w:color="auto" w:sz="4" w:space="0"/>
              <w:right w:val="single" w:color="auto" w:sz="4" w:space="0"/>
            </w:tcBorders>
          </w:tcPr>
          <w:p>
            <w:pPr>
              <w:kinsoku w:val="0"/>
              <w:overflowPunct w:val="0"/>
              <w:autoSpaceDE w:val="0"/>
              <w:autoSpaceDN w:val="0"/>
              <w:spacing w:line="300" w:lineRule="auto"/>
              <w:jc w:val="left"/>
              <w:rPr>
                <w:rFonts w:ascii="仿宋_GB2312" w:eastAsia="仿宋_GB2312" w:hAnsiTheme="minorEastAsia"/>
                <w:kern w:val="2"/>
                <w:sz w:val="24"/>
                <w:szCs w:val="24"/>
              </w:rPr>
            </w:pPr>
            <w:r>
              <w:rPr>
                <w:rFonts w:hint="eastAsia" w:ascii="仿宋_GB2312" w:eastAsia="仿宋_GB2312" w:hAnsiTheme="minorEastAsia"/>
                <w:kern w:val="0"/>
                <w:sz w:val="24"/>
                <w:szCs w:val="24"/>
              </w:rPr>
              <w:t>序号</w:t>
            </w:r>
          </w:p>
        </w:tc>
        <w:tc>
          <w:tcPr>
            <w:tcW w:w="1694" w:type="dxa"/>
            <w:tcBorders>
              <w:top w:val="single" w:color="auto" w:sz="4" w:space="0"/>
              <w:left w:val="single" w:color="auto" w:sz="4" w:space="0"/>
              <w:bottom w:val="single" w:color="auto" w:sz="4" w:space="0"/>
              <w:right w:val="single" w:color="auto" w:sz="4" w:space="0"/>
            </w:tcBorders>
          </w:tcPr>
          <w:p>
            <w:pPr>
              <w:kinsoku w:val="0"/>
              <w:overflowPunct w:val="0"/>
              <w:autoSpaceDE w:val="0"/>
              <w:autoSpaceDN w:val="0"/>
              <w:spacing w:line="300" w:lineRule="auto"/>
              <w:jc w:val="center"/>
              <w:rPr>
                <w:rFonts w:ascii="仿宋_GB2312" w:eastAsia="仿宋_GB2312" w:hAnsiTheme="minorEastAsia"/>
                <w:kern w:val="2"/>
                <w:sz w:val="24"/>
                <w:szCs w:val="24"/>
              </w:rPr>
            </w:pPr>
            <w:r>
              <w:rPr>
                <w:rFonts w:hint="eastAsia" w:ascii="仿宋_GB2312" w:eastAsia="仿宋_GB2312" w:hAnsiTheme="minorEastAsia"/>
                <w:kern w:val="0"/>
                <w:sz w:val="24"/>
                <w:szCs w:val="24"/>
              </w:rPr>
              <w:t>关联证券名称</w:t>
            </w:r>
          </w:p>
        </w:tc>
        <w:tc>
          <w:tcPr>
            <w:tcW w:w="857" w:type="dxa"/>
            <w:tcBorders>
              <w:top w:val="single" w:color="auto" w:sz="4" w:space="0"/>
              <w:left w:val="single" w:color="auto" w:sz="4" w:space="0"/>
              <w:bottom w:val="single" w:color="auto" w:sz="4" w:space="0"/>
              <w:right w:val="single" w:color="auto" w:sz="4" w:space="0"/>
            </w:tcBorders>
          </w:tcPr>
          <w:p>
            <w:pPr>
              <w:kinsoku w:val="0"/>
              <w:overflowPunct w:val="0"/>
              <w:autoSpaceDE w:val="0"/>
              <w:autoSpaceDN w:val="0"/>
              <w:spacing w:line="300" w:lineRule="auto"/>
              <w:jc w:val="center"/>
              <w:rPr>
                <w:rFonts w:ascii="仿宋_GB2312" w:eastAsia="仿宋_GB2312" w:hAnsiTheme="minorEastAsia"/>
                <w:kern w:val="2"/>
                <w:sz w:val="24"/>
                <w:szCs w:val="24"/>
              </w:rPr>
            </w:pPr>
            <w:r>
              <w:rPr>
                <w:rFonts w:hint="eastAsia" w:ascii="仿宋_GB2312" w:eastAsia="仿宋_GB2312" w:hAnsiTheme="minorEastAsia"/>
                <w:kern w:val="0"/>
                <w:sz w:val="24"/>
                <w:szCs w:val="24"/>
              </w:rPr>
              <w:t>规模</w:t>
            </w:r>
          </w:p>
        </w:tc>
        <w:tc>
          <w:tcPr>
            <w:tcW w:w="1134" w:type="dxa"/>
            <w:tcBorders>
              <w:top w:val="single" w:color="auto" w:sz="4" w:space="0"/>
              <w:left w:val="single" w:color="auto" w:sz="4" w:space="0"/>
              <w:bottom w:val="single" w:color="auto" w:sz="4" w:space="0"/>
              <w:right w:val="single" w:color="auto" w:sz="4" w:space="0"/>
            </w:tcBorders>
          </w:tcPr>
          <w:p>
            <w:pPr>
              <w:kinsoku w:val="0"/>
              <w:overflowPunct w:val="0"/>
              <w:autoSpaceDE w:val="0"/>
              <w:autoSpaceDN w:val="0"/>
              <w:spacing w:line="300" w:lineRule="auto"/>
              <w:jc w:val="center"/>
              <w:rPr>
                <w:rFonts w:ascii="仿宋_GB2312" w:eastAsia="仿宋_GB2312" w:hAnsiTheme="minorEastAsia"/>
                <w:kern w:val="2"/>
                <w:sz w:val="24"/>
                <w:szCs w:val="24"/>
              </w:rPr>
            </w:pPr>
            <w:r>
              <w:rPr>
                <w:rFonts w:hint="eastAsia" w:ascii="仿宋_GB2312" w:eastAsia="仿宋_GB2312" w:hAnsiTheme="minorEastAsia"/>
                <w:kern w:val="0"/>
                <w:sz w:val="24"/>
                <w:szCs w:val="24"/>
              </w:rPr>
              <w:t>占比</w:t>
            </w:r>
          </w:p>
        </w:tc>
        <w:tc>
          <w:tcPr>
            <w:tcW w:w="1276" w:type="dxa"/>
            <w:tcBorders>
              <w:top w:val="single" w:color="auto" w:sz="4" w:space="0"/>
              <w:left w:val="single" w:color="auto" w:sz="4" w:space="0"/>
              <w:bottom w:val="single" w:color="auto" w:sz="4" w:space="0"/>
              <w:right w:val="single" w:color="auto" w:sz="4" w:space="0"/>
            </w:tcBorders>
          </w:tcPr>
          <w:p>
            <w:pPr>
              <w:kinsoku w:val="0"/>
              <w:overflowPunct w:val="0"/>
              <w:autoSpaceDE w:val="0"/>
              <w:autoSpaceDN w:val="0"/>
              <w:spacing w:line="300" w:lineRule="auto"/>
              <w:jc w:val="center"/>
              <w:rPr>
                <w:rFonts w:ascii="仿宋_GB2312" w:eastAsia="仿宋_GB2312" w:hAnsiTheme="minorEastAsia"/>
                <w:kern w:val="2"/>
                <w:sz w:val="24"/>
                <w:szCs w:val="24"/>
              </w:rPr>
            </w:pPr>
            <w:r>
              <w:rPr>
                <w:rFonts w:hint="eastAsia" w:ascii="仿宋_GB2312" w:eastAsia="仿宋_GB2312" w:hAnsiTheme="minorEastAsia"/>
                <w:kern w:val="0"/>
                <w:sz w:val="24"/>
                <w:szCs w:val="24"/>
              </w:rPr>
              <w:t>关联方名称</w:t>
            </w:r>
          </w:p>
        </w:tc>
        <w:tc>
          <w:tcPr>
            <w:tcW w:w="3118" w:type="dxa"/>
            <w:tcBorders>
              <w:top w:val="single" w:color="auto" w:sz="4" w:space="0"/>
              <w:left w:val="single" w:color="auto" w:sz="4" w:space="0"/>
              <w:bottom w:val="single" w:color="auto" w:sz="4" w:space="0"/>
              <w:right w:val="single" w:color="auto" w:sz="4" w:space="0"/>
            </w:tcBorders>
          </w:tcPr>
          <w:p>
            <w:pPr>
              <w:kinsoku w:val="0"/>
              <w:overflowPunct w:val="0"/>
              <w:autoSpaceDE w:val="0"/>
              <w:autoSpaceDN w:val="0"/>
              <w:spacing w:line="300" w:lineRule="auto"/>
              <w:jc w:val="center"/>
              <w:rPr>
                <w:rFonts w:ascii="仿宋_GB2312" w:eastAsia="仿宋_GB2312" w:hAnsiTheme="minorEastAsia"/>
                <w:kern w:val="2"/>
                <w:sz w:val="24"/>
                <w:szCs w:val="24"/>
              </w:rPr>
            </w:pPr>
            <w:r>
              <w:rPr>
                <w:rFonts w:hint="eastAsia" w:ascii="仿宋_GB2312" w:eastAsia="仿宋_GB2312" w:hAnsiTheme="minorEastAsia"/>
                <w:kern w:val="0"/>
                <w:sz w:val="24"/>
                <w:szCs w:val="24"/>
              </w:rPr>
              <w:t>关联方与本理财产品关联关系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tcBorders>
              <w:top w:val="single" w:color="auto" w:sz="4" w:space="0"/>
              <w:left w:val="single" w:color="auto" w:sz="4" w:space="0"/>
              <w:bottom w:val="single" w:color="auto" w:sz="4" w:space="0"/>
              <w:right w:val="single" w:color="auto" w:sz="4" w:space="0"/>
            </w:tcBorders>
          </w:tcPr>
          <w:p>
            <w:pPr>
              <w:kinsoku w:val="0"/>
              <w:overflowPunct w:val="0"/>
              <w:autoSpaceDE w:val="0"/>
              <w:autoSpaceDN w:val="0"/>
              <w:spacing w:line="300" w:lineRule="auto"/>
              <w:jc w:val="left"/>
              <w:rPr>
                <w:rFonts w:ascii="仿宋_GB2312" w:eastAsia="仿宋_GB2312" w:hAnsiTheme="minorEastAsia"/>
                <w:color w:val="000000" w:themeColor="text1"/>
                <w:kern w:val="2"/>
                <w:sz w:val="24"/>
                <w:szCs w:val="24"/>
                <w14:textFill>
                  <w14:solidFill>
                    <w14:schemeClr w14:val="tx1"/>
                  </w14:solidFill>
                </w14:textFill>
              </w:rPr>
            </w:pPr>
            <w:r>
              <w:rPr>
                <w:rFonts w:hint="eastAsia" w:ascii="仿宋_GB2312" w:eastAsia="仿宋_GB2312" w:hAnsiTheme="minorEastAsia"/>
                <w:color w:val="000000" w:themeColor="text1"/>
                <w:kern w:val="0"/>
                <w:sz w:val="24"/>
                <w:szCs w:val="24"/>
                <w14:textFill>
                  <w14:solidFill>
                    <w14:schemeClr w14:val="tx1"/>
                  </w14:solidFill>
                </w14:textFill>
              </w:rPr>
              <w:t>1</w:t>
            </w:r>
          </w:p>
        </w:tc>
        <w:tc>
          <w:tcPr>
            <w:tcW w:w="1694" w:type="dxa"/>
            <w:tcBorders>
              <w:top w:val="single" w:color="auto" w:sz="4" w:space="0"/>
              <w:left w:val="single" w:color="auto" w:sz="4" w:space="0"/>
              <w:bottom w:val="single" w:color="auto" w:sz="4" w:space="0"/>
              <w:right w:val="single" w:color="auto" w:sz="4" w:space="0"/>
            </w:tcBorders>
          </w:tcPr>
          <w:p>
            <w:pPr>
              <w:jc w:val="center"/>
              <w:rPr>
                <w:color w:val="000000" w:themeColor="text1"/>
                <w:kern w:val="2"/>
                <w14:textFill>
                  <w14:solidFill>
                    <w14:schemeClr w14:val="tx1"/>
                  </w14:solidFill>
                </w14:textFill>
              </w:rPr>
            </w:pPr>
            <w:r>
              <w:rPr>
                <w:rFonts w:hint="eastAsia" w:ascii="仿宋_GB2312" w:eastAsia="仿宋_GB2312" w:hAnsiTheme="minorEastAsia"/>
                <w:color w:val="000000" w:themeColor="text1"/>
                <w:kern w:val="0"/>
                <w:sz w:val="24"/>
                <w:szCs w:val="24"/>
                <w14:textFill>
                  <w14:solidFill>
                    <w14:schemeClr w14:val="tx1"/>
                  </w14:solidFill>
                </w14:textFill>
              </w:rPr>
              <w:t>-</w:t>
            </w:r>
          </w:p>
        </w:tc>
        <w:tc>
          <w:tcPr>
            <w:tcW w:w="857" w:type="dxa"/>
            <w:tcBorders>
              <w:top w:val="single" w:color="auto" w:sz="4" w:space="0"/>
              <w:left w:val="single" w:color="auto" w:sz="4" w:space="0"/>
              <w:bottom w:val="single" w:color="auto" w:sz="4" w:space="0"/>
              <w:right w:val="single" w:color="auto" w:sz="4" w:space="0"/>
            </w:tcBorders>
          </w:tcPr>
          <w:p>
            <w:pPr>
              <w:jc w:val="center"/>
              <w:rPr>
                <w:color w:val="000000" w:themeColor="text1"/>
                <w:kern w:val="2"/>
                <w14:textFill>
                  <w14:solidFill>
                    <w14:schemeClr w14:val="tx1"/>
                  </w14:solidFill>
                </w14:textFill>
              </w:rPr>
            </w:pPr>
            <w:r>
              <w:rPr>
                <w:rFonts w:hint="eastAsia" w:ascii="仿宋_GB2312" w:eastAsia="仿宋_GB2312" w:hAnsiTheme="minorEastAsia"/>
                <w:color w:val="000000" w:themeColor="text1"/>
                <w:kern w:val="0"/>
                <w:sz w:val="24"/>
                <w:szCs w:val="24"/>
                <w14:textFill>
                  <w14:solidFill>
                    <w14:schemeClr w14:val="tx1"/>
                  </w14:solidFill>
                </w14:textFill>
              </w:rPr>
              <w:t>-</w:t>
            </w:r>
          </w:p>
        </w:tc>
        <w:tc>
          <w:tcPr>
            <w:tcW w:w="1134" w:type="dxa"/>
            <w:tcBorders>
              <w:top w:val="single" w:color="auto" w:sz="4" w:space="0"/>
              <w:left w:val="single" w:color="auto" w:sz="4" w:space="0"/>
              <w:bottom w:val="single" w:color="auto" w:sz="4" w:space="0"/>
              <w:right w:val="single" w:color="auto" w:sz="4" w:space="0"/>
            </w:tcBorders>
          </w:tcPr>
          <w:p>
            <w:pPr>
              <w:jc w:val="center"/>
              <w:rPr>
                <w:color w:val="000000" w:themeColor="text1"/>
                <w:kern w:val="2"/>
                <w14:textFill>
                  <w14:solidFill>
                    <w14:schemeClr w14:val="tx1"/>
                  </w14:solidFill>
                </w14:textFill>
              </w:rPr>
            </w:pPr>
            <w:r>
              <w:rPr>
                <w:rFonts w:hint="eastAsia" w:ascii="仿宋_GB2312" w:eastAsia="仿宋_GB2312" w:hAnsiTheme="minorEastAsia"/>
                <w:color w:val="000000" w:themeColor="text1"/>
                <w:kern w:val="0"/>
                <w:sz w:val="24"/>
                <w:szCs w:val="24"/>
                <w14:textFill>
                  <w14:solidFill>
                    <w14:schemeClr w14:val="tx1"/>
                  </w14:solidFill>
                </w14:textFill>
              </w:rPr>
              <w:t>-</w:t>
            </w:r>
          </w:p>
        </w:tc>
        <w:tc>
          <w:tcPr>
            <w:tcW w:w="1276" w:type="dxa"/>
            <w:tcBorders>
              <w:top w:val="single" w:color="auto" w:sz="4" w:space="0"/>
              <w:left w:val="single" w:color="auto" w:sz="4" w:space="0"/>
              <w:bottom w:val="single" w:color="auto" w:sz="4" w:space="0"/>
              <w:right w:val="single" w:color="auto" w:sz="4" w:space="0"/>
            </w:tcBorders>
          </w:tcPr>
          <w:p>
            <w:pPr>
              <w:jc w:val="center"/>
              <w:rPr>
                <w:color w:val="000000" w:themeColor="text1"/>
                <w:kern w:val="2"/>
                <w14:textFill>
                  <w14:solidFill>
                    <w14:schemeClr w14:val="tx1"/>
                  </w14:solidFill>
                </w14:textFill>
              </w:rPr>
            </w:pPr>
            <w:r>
              <w:rPr>
                <w:rFonts w:hint="eastAsia" w:ascii="仿宋_GB2312" w:eastAsia="仿宋_GB2312" w:hAnsiTheme="minorEastAsia"/>
                <w:color w:val="000000" w:themeColor="text1"/>
                <w:kern w:val="0"/>
                <w:sz w:val="24"/>
                <w:szCs w:val="24"/>
                <w14:textFill>
                  <w14:solidFill>
                    <w14:schemeClr w14:val="tx1"/>
                  </w14:solidFill>
                </w14:textFill>
              </w:rPr>
              <w:t>-</w:t>
            </w:r>
          </w:p>
        </w:tc>
        <w:tc>
          <w:tcPr>
            <w:tcW w:w="3118" w:type="dxa"/>
            <w:tcBorders>
              <w:top w:val="single" w:color="auto" w:sz="4" w:space="0"/>
              <w:left w:val="single" w:color="auto" w:sz="4" w:space="0"/>
              <w:bottom w:val="single" w:color="auto" w:sz="4" w:space="0"/>
              <w:right w:val="single" w:color="auto" w:sz="4" w:space="0"/>
            </w:tcBorders>
          </w:tcPr>
          <w:p>
            <w:pPr>
              <w:jc w:val="center"/>
              <w:rPr>
                <w:color w:val="000000" w:themeColor="text1"/>
                <w:kern w:val="2"/>
                <w14:textFill>
                  <w14:solidFill>
                    <w14:schemeClr w14:val="tx1"/>
                  </w14:solidFill>
                </w14:textFill>
              </w:rPr>
            </w:pPr>
            <w:r>
              <w:rPr>
                <w:rFonts w:hint="eastAsia" w:ascii="仿宋_GB2312" w:eastAsia="仿宋_GB2312" w:hAnsiTheme="minorEastAsia"/>
                <w:color w:val="000000" w:themeColor="text1"/>
                <w:kern w:val="0"/>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tcBorders>
              <w:top w:val="single" w:color="auto" w:sz="4" w:space="0"/>
              <w:left w:val="single" w:color="auto" w:sz="4" w:space="0"/>
              <w:bottom w:val="single" w:color="auto" w:sz="4" w:space="0"/>
              <w:right w:val="single" w:color="auto" w:sz="4" w:space="0"/>
            </w:tcBorders>
          </w:tcPr>
          <w:p>
            <w:pPr>
              <w:kinsoku w:val="0"/>
              <w:overflowPunct w:val="0"/>
              <w:autoSpaceDE w:val="0"/>
              <w:autoSpaceDN w:val="0"/>
              <w:spacing w:line="300" w:lineRule="auto"/>
              <w:jc w:val="left"/>
              <w:rPr>
                <w:rFonts w:ascii="仿宋_GB2312" w:eastAsia="仿宋_GB2312" w:hAnsiTheme="minorEastAsia"/>
                <w:color w:val="000000" w:themeColor="text1"/>
                <w:kern w:val="2"/>
                <w:sz w:val="24"/>
                <w:szCs w:val="24"/>
                <w14:textFill>
                  <w14:solidFill>
                    <w14:schemeClr w14:val="tx1"/>
                  </w14:solidFill>
                </w14:textFill>
              </w:rPr>
            </w:pPr>
            <w:r>
              <w:rPr>
                <w:rFonts w:hint="eastAsia" w:ascii="仿宋_GB2312" w:eastAsia="仿宋_GB2312" w:hAnsiTheme="minorEastAsia"/>
                <w:color w:val="000000" w:themeColor="text1"/>
                <w:kern w:val="0"/>
                <w:sz w:val="24"/>
                <w:szCs w:val="24"/>
                <w14:textFill>
                  <w14:solidFill>
                    <w14:schemeClr w14:val="tx1"/>
                  </w14:solidFill>
                </w14:textFill>
              </w:rPr>
              <w:t>2</w:t>
            </w:r>
          </w:p>
        </w:tc>
        <w:tc>
          <w:tcPr>
            <w:tcW w:w="1694" w:type="dxa"/>
            <w:tcBorders>
              <w:top w:val="single" w:color="auto" w:sz="4" w:space="0"/>
              <w:left w:val="single" w:color="auto" w:sz="4" w:space="0"/>
              <w:bottom w:val="single" w:color="auto" w:sz="4" w:space="0"/>
              <w:right w:val="single" w:color="auto" w:sz="4" w:space="0"/>
            </w:tcBorders>
          </w:tcPr>
          <w:p>
            <w:pPr>
              <w:jc w:val="center"/>
              <w:rPr>
                <w:color w:val="000000" w:themeColor="text1"/>
                <w:kern w:val="2"/>
                <w14:textFill>
                  <w14:solidFill>
                    <w14:schemeClr w14:val="tx1"/>
                  </w14:solidFill>
                </w14:textFill>
              </w:rPr>
            </w:pPr>
            <w:r>
              <w:rPr>
                <w:rFonts w:hint="eastAsia" w:ascii="仿宋_GB2312" w:eastAsia="仿宋_GB2312" w:hAnsiTheme="minorEastAsia"/>
                <w:color w:val="000000" w:themeColor="text1"/>
                <w:kern w:val="0"/>
                <w:sz w:val="24"/>
                <w:szCs w:val="24"/>
                <w14:textFill>
                  <w14:solidFill>
                    <w14:schemeClr w14:val="tx1"/>
                  </w14:solidFill>
                </w14:textFill>
              </w:rPr>
              <w:t>-</w:t>
            </w:r>
          </w:p>
        </w:tc>
        <w:tc>
          <w:tcPr>
            <w:tcW w:w="857" w:type="dxa"/>
            <w:tcBorders>
              <w:top w:val="single" w:color="auto" w:sz="4" w:space="0"/>
              <w:left w:val="single" w:color="auto" w:sz="4" w:space="0"/>
              <w:bottom w:val="single" w:color="auto" w:sz="4" w:space="0"/>
              <w:right w:val="single" w:color="auto" w:sz="4" w:space="0"/>
            </w:tcBorders>
          </w:tcPr>
          <w:p>
            <w:pPr>
              <w:jc w:val="center"/>
              <w:rPr>
                <w:color w:val="000000" w:themeColor="text1"/>
                <w:kern w:val="2"/>
                <w14:textFill>
                  <w14:solidFill>
                    <w14:schemeClr w14:val="tx1"/>
                  </w14:solidFill>
                </w14:textFill>
              </w:rPr>
            </w:pPr>
            <w:r>
              <w:rPr>
                <w:rFonts w:hint="eastAsia" w:ascii="仿宋_GB2312" w:eastAsia="仿宋_GB2312" w:hAnsiTheme="minorEastAsia"/>
                <w:color w:val="000000" w:themeColor="text1"/>
                <w:kern w:val="0"/>
                <w:sz w:val="24"/>
                <w:szCs w:val="24"/>
                <w14:textFill>
                  <w14:solidFill>
                    <w14:schemeClr w14:val="tx1"/>
                  </w14:solidFill>
                </w14:textFill>
              </w:rPr>
              <w:t>-</w:t>
            </w:r>
          </w:p>
        </w:tc>
        <w:tc>
          <w:tcPr>
            <w:tcW w:w="1134" w:type="dxa"/>
            <w:tcBorders>
              <w:top w:val="single" w:color="auto" w:sz="4" w:space="0"/>
              <w:left w:val="single" w:color="auto" w:sz="4" w:space="0"/>
              <w:bottom w:val="single" w:color="auto" w:sz="4" w:space="0"/>
              <w:right w:val="single" w:color="auto" w:sz="4" w:space="0"/>
            </w:tcBorders>
          </w:tcPr>
          <w:p>
            <w:pPr>
              <w:jc w:val="center"/>
              <w:rPr>
                <w:color w:val="000000" w:themeColor="text1"/>
                <w:kern w:val="2"/>
                <w14:textFill>
                  <w14:solidFill>
                    <w14:schemeClr w14:val="tx1"/>
                  </w14:solidFill>
                </w14:textFill>
              </w:rPr>
            </w:pPr>
            <w:r>
              <w:rPr>
                <w:rFonts w:hint="eastAsia" w:ascii="仿宋_GB2312" w:eastAsia="仿宋_GB2312" w:hAnsiTheme="minorEastAsia"/>
                <w:color w:val="000000" w:themeColor="text1"/>
                <w:kern w:val="0"/>
                <w:sz w:val="24"/>
                <w:szCs w:val="24"/>
                <w14:textFill>
                  <w14:solidFill>
                    <w14:schemeClr w14:val="tx1"/>
                  </w14:solidFill>
                </w14:textFill>
              </w:rPr>
              <w:t>-</w:t>
            </w:r>
          </w:p>
        </w:tc>
        <w:tc>
          <w:tcPr>
            <w:tcW w:w="1276" w:type="dxa"/>
            <w:tcBorders>
              <w:top w:val="single" w:color="auto" w:sz="4" w:space="0"/>
              <w:left w:val="single" w:color="auto" w:sz="4" w:space="0"/>
              <w:bottom w:val="single" w:color="auto" w:sz="4" w:space="0"/>
              <w:right w:val="single" w:color="auto" w:sz="4" w:space="0"/>
            </w:tcBorders>
          </w:tcPr>
          <w:p>
            <w:pPr>
              <w:jc w:val="center"/>
              <w:rPr>
                <w:color w:val="000000" w:themeColor="text1"/>
                <w:kern w:val="2"/>
                <w14:textFill>
                  <w14:solidFill>
                    <w14:schemeClr w14:val="tx1"/>
                  </w14:solidFill>
                </w14:textFill>
              </w:rPr>
            </w:pPr>
            <w:r>
              <w:rPr>
                <w:rFonts w:hint="eastAsia" w:ascii="仿宋_GB2312" w:eastAsia="仿宋_GB2312" w:hAnsiTheme="minorEastAsia"/>
                <w:color w:val="000000" w:themeColor="text1"/>
                <w:kern w:val="0"/>
                <w:sz w:val="24"/>
                <w:szCs w:val="24"/>
                <w14:textFill>
                  <w14:solidFill>
                    <w14:schemeClr w14:val="tx1"/>
                  </w14:solidFill>
                </w14:textFill>
              </w:rPr>
              <w:t>-</w:t>
            </w:r>
          </w:p>
        </w:tc>
        <w:tc>
          <w:tcPr>
            <w:tcW w:w="3118" w:type="dxa"/>
            <w:tcBorders>
              <w:top w:val="single" w:color="auto" w:sz="4" w:space="0"/>
              <w:left w:val="single" w:color="auto" w:sz="4" w:space="0"/>
              <w:bottom w:val="single" w:color="auto" w:sz="4" w:space="0"/>
              <w:right w:val="single" w:color="auto" w:sz="4" w:space="0"/>
            </w:tcBorders>
          </w:tcPr>
          <w:p>
            <w:pPr>
              <w:jc w:val="center"/>
              <w:rPr>
                <w:color w:val="000000" w:themeColor="text1"/>
                <w:kern w:val="2"/>
                <w14:textFill>
                  <w14:solidFill>
                    <w14:schemeClr w14:val="tx1"/>
                  </w14:solidFill>
                </w14:textFill>
              </w:rPr>
            </w:pPr>
            <w:r>
              <w:rPr>
                <w:rFonts w:hint="eastAsia" w:ascii="仿宋_GB2312" w:eastAsia="仿宋_GB2312" w:hAnsiTheme="minorEastAsia"/>
                <w:color w:val="000000" w:themeColor="text1"/>
                <w:kern w:val="0"/>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tcBorders>
              <w:top w:val="single" w:color="auto" w:sz="4" w:space="0"/>
              <w:left w:val="single" w:color="auto" w:sz="4" w:space="0"/>
              <w:bottom w:val="single" w:color="auto" w:sz="4" w:space="0"/>
              <w:right w:val="single" w:color="auto" w:sz="4" w:space="0"/>
            </w:tcBorders>
          </w:tcPr>
          <w:p>
            <w:pPr>
              <w:kinsoku w:val="0"/>
              <w:overflowPunct w:val="0"/>
              <w:autoSpaceDE w:val="0"/>
              <w:autoSpaceDN w:val="0"/>
              <w:spacing w:line="300" w:lineRule="auto"/>
              <w:jc w:val="left"/>
              <w:rPr>
                <w:rFonts w:ascii="仿宋_GB2312" w:eastAsia="仿宋_GB2312" w:hAnsiTheme="minorEastAsia"/>
                <w:color w:val="000000" w:themeColor="text1"/>
                <w:kern w:val="2"/>
                <w:sz w:val="24"/>
                <w:szCs w:val="24"/>
                <w14:textFill>
                  <w14:solidFill>
                    <w14:schemeClr w14:val="tx1"/>
                  </w14:solidFill>
                </w14:textFill>
              </w:rPr>
            </w:pPr>
            <w:r>
              <w:rPr>
                <w:rFonts w:hint="eastAsia" w:ascii="仿宋_GB2312" w:eastAsia="仿宋_GB2312" w:hAnsiTheme="minorEastAsia"/>
                <w:color w:val="000000" w:themeColor="text1"/>
                <w:kern w:val="0"/>
                <w:sz w:val="24"/>
                <w:szCs w:val="24"/>
                <w14:textFill>
                  <w14:solidFill>
                    <w14:schemeClr w14:val="tx1"/>
                  </w14:solidFill>
                </w14:textFill>
              </w:rPr>
              <w:t>……</w:t>
            </w:r>
          </w:p>
        </w:tc>
        <w:tc>
          <w:tcPr>
            <w:tcW w:w="1694" w:type="dxa"/>
            <w:tcBorders>
              <w:top w:val="single" w:color="auto" w:sz="4" w:space="0"/>
              <w:left w:val="single" w:color="auto" w:sz="4" w:space="0"/>
              <w:bottom w:val="single" w:color="auto" w:sz="4" w:space="0"/>
              <w:right w:val="single" w:color="auto" w:sz="4" w:space="0"/>
            </w:tcBorders>
          </w:tcPr>
          <w:p>
            <w:pPr>
              <w:jc w:val="center"/>
              <w:rPr>
                <w:color w:val="000000" w:themeColor="text1"/>
                <w:kern w:val="2"/>
                <w14:textFill>
                  <w14:solidFill>
                    <w14:schemeClr w14:val="tx1"/>
                  </w14:solidFill>
                </w14:textFill>
              </w:rPr>
            </w:pPr>
            <w:r>
              <w:rPr>
                <w:rFonts w:hint="eastAsia" w:ascii="仿宋_GB2312" w:eastAsia="仿宋_GB2312" w:hAnsiTheme="minorEastAsia"/>
                <w:color w:val="000000" w:themeColor="text1"/>
                <w:kern w:val="0"/>
                <w:sz w:val="24"/>
                <w:szCs w:val="24"/>
                <w14:textFill>
                  <w14:solidFill>
                    <w14:schemeClr w14:val="tx1"/>
                  </w14:solidFill>
                </w14:textFill>
              </w:rPr>
              <w:t>-</w:t>
            </w:r>
          </w:p>
        </w:tc>
        <w:tc>
          <w:tcPr>
            <w:tcW w:w="857" w:type="dxa"/>
            <w:tcBorders>
              <w:top w:val="single" w:color="auto" w:sz="4" w:space="0"/>
              <w:left w:val="single" w:color="auto" w:sz="4" w:space="0"/>
              <w:bottom w:val="single" w:color="auto" w:sz="4" w:space="0"/>
              <w:right w:val="single" w:color="auto" w:sz="4" w:space="0"/>
            </w:tcBorders>
          </w:tcPr>
          <w:p>
            <w:pPr>
              <w:jc w:val="center"/>
              <w:rPr>
                <w:color w:val="000000" w:themeColor="text1"/>
                <w:kern w:val="2"/>
                <w14:textFill>
                  <w14:solidFill>
                    <w14:schemeClr w14:val="tx1"/>
                  </w14:solidFill>
                </w14:textFill>
              </w:rPr>
            </w:pPr>
            <w:r>
              <w:rPr>
                <w:rFonts w:hint="eastAsia" w:ascii="仿宋_GB2312" w:eastAsia="仿宋_GB2312" w:hAnsiTheme="minorEastAsia"/>
                <w:color w:val="000000" w:themeColor="text1"/>
                <w:kern w:val="0"/>
                <w:sz w:val="24"/>
                <w:szCs w:val="24"/>
                <w14:textFill>
                  <w14:solidFill>
                    <w14:schemeClr w14:val="tx1"/>
                  </w14:solidFill>
                </w14:textFill>
              </w:rPr>
              <w:t>-</w:t>
            </w:r>
          </w:p>
        </w:tc>
        <w:tc>
          <w:tcPr>
            <w:tcW w:w="1134" w:type="dxa"/>
            <w:tcBorders>
              <w:top w:val="single" w:color="auto" w:sz="4" w:space="0"/>
              <w:left w:val="single" w:color="auto" w:sz="4" w:space="0"/>
              <w:bottom w:val="single" w:color="auto" w:sz="4" w:space="0"/>
              <w:right w:val="single" w:color="auto" w:sz="4" w:space="0"/>
            </w:tcBorders>
          </w:tcPr>
          <w:p>
            <w:pPr>
              <w:jc w:val="center"/>
              <w:rPr>
                <w:color w:val="000000" w:themeColor="text1"/>
                <w:kern w:val="2"/>
                <w14:textFill>
                  <w14:solidFill>
                    <w14:schemeClr w14:val="tx1"/>
                  </w14:solidFill>
                </w14:textFill>
              </w:rPr>
            </w:pPr>
            <w:r>
              <w:rPr>
                <w:rFonts w:hint="eastAsia" w:ascii="仿宋_GB2312" w:eastAsia="仿宋_GB2312" w:hAnsiTheme="minorEastAsia"/>
                <w:color w:val="000000" w:themeColor="text1"/>
                <w:kern w:val="0"/>
                <w:sz w:val="24"/>
                <w:szCs w:val="24"/>
                <w14:textFill>
                  <w14:solidFill>
                    <w14:schemeClr w14:val="tx1"/>
                  </w14:solidFill>
                </w14:textFill>
              </w:rPr>
              <w:t>-</w:t>
            </w:r>
          </w:p>
        </w:tc>
        <w:tc>
          <w:tcPr>
            <w:tcW w:w="1276" w:type="dxa"/>
            <w:tcBorders>
              <w:top w:val="single" w:color="auto" w:sz="4" w:space="0"/>
              <w:left w:val="single" w:color="auto" w:sz="4" w:space="0"/>
              <w:bottom w:val="single" w:color="auto" w:sz="4" w:space="0"/>
              <w:right w:val="single" w:color="auto" w:sz="4" w:space="0"/>
            </w:tcBorders>
          </w:tcPr>
          <w:p>
            <w:pPr>
              <w:jc w:val="center"/>
              <w:rPr>
                <w:color w:val="000000" w:themeColor="text1"/>
                <w:kern w:val="2"/>
                <w14:textFill>
                  <w14:solidFill>
                    <w14:schemeClr w14:val="tx1"/>
                  </w14:solidFill>
                </w14:textFill>
              </w:rPr>
            </w:pPr>
            <w:r>
              <w:rPr>
                <w:rFonts w:hint="eastAsia" w:ascii="仿宋_GB2312" w:eastAsia="仿宋_GB2312" w:hAnsiTheme="minorEastAsia"/>
                <w:color w:val="000000" w:themeColor="text1"/>
                <w:kern w:val="0"/>
                <w:sz w:val="24"/>
                <w:szCs w:val="24"/>
                <w14:textFill>
                  <w14:solidFill>
                    <w14:schemeClr w14:val="tx1"/>
                  </w14:solidFill>
                </w14:textFill>
              </w:rPr>
              <w:t>-</w:t>
            </w:r>
          </w:p>
        </w:tc>
        <w:tc>
          <w:tcPr>
            <w:tcW w:w="3118" w:type="dxa"/>
            <w:tcBorders>
              <w:top w:val="single" w:color="auto" w:sz="4" w:space="0"/>
              <w:left w:val="single" w:color="auto" w:sz="4" w:space="0"/>
              <w:bottom w:val="single" w:color="auto" w:sz="4" w:space="0"/>
              <w:right w:val="single" w:color="auto" w:sz="4" w:space="0"/>
            </w:tcBorders>
          </w:tcPr>
          <w:p>
            <w:pPr>
              <w:jc w:val="center"/>
              <w:rPr>
                <w:color w:val="000000" w:themeColor="text1"/>
                <w:kern w:val="2"/>
                <w14:textFill>
                  <w14:solidFill>
                    <w14:schemeClr w14:val="tx1"/>
                  </w14:solidFill>
                </w14:textFill>
              </w:rPr>
            </w:pPr>
            <w:r>
              <w:rPr>
                <w:rFonts w:hint="eastAsia" w:ascii="仿宋_GB2312" w:eastAsia="仿宋_GB2312" w:hAnsiTheme="minorEastAsia"/>
                <w:color w:val="000000" w:themeColor="text1"/>
                <w:kern w:val="0"/>
                <w:sz w:val="24"/>
                <w:szCs w:val="24"/>
                <w14:textFill>
                  <w14:solidFill>
                    <w14:schemeClr w14:val="tx1"/>
                  </w14:solidFill>
                </w14:textFill>
              </w:rPr>
              <w:t>-</w:t>
            </w:r>
          </w:p>
        </w:tc>
      </w:tr>
    </w:tbl>
    <w:p>
      <w:pPr>
        <w:snapToGrid w:val="0"/>
        <w:spacing w:line="360" w:lineRule="auto"/>
        <w:rPr>
          <w:rFonts w:ascii="仿宋_GB2312" w:eastAsia="仿宋_GB2312"/>
          <w:b/>
          <w:sz w:val="24"/>
          <w:szCs w:val="24"/>
          <w:highlight w:val="yellow"/>
        </w:rPr>
      </w:pPr>
    </w:p>
    <w:p>
      <w:pPr>
        <w:snapToGrid w:val="0"/>
        <w:spacing w:line="360" w:lineRule="auto"/>
        <w:rPr>
          <w:rFonts w:ascii="仿宋_GB2312" w:eastAsia="仿宋_GB2312"/>
          <w:b/>
          <w:sz w:val="24"/>
          <w:szCs w:val="24"/>
        </w:rPr>
      </w:pPr>
      <w:r>
        <w:rPr>
          <w:rFonts w:hint="eastAsia" w:ascii="仿宋_GB2312" w:eastAsia="仿宋_GB2312"/>
          <w:b/>
          <w:sz w:val="24"/>
          <w:szCs w:val="24"/>
        </w:rPr>
        <w:t>6</w:t>
      </w:r>
      <w:r>
        <w:rPr>
          <w:rFonts w:ascii="仿宋_GB2312" w:eastAsia="仿宋_GB2312"/>
          <w:b/>
          <w:sz w:val="24"/>
          <w:szCs w:val="24"/>
        </w:rPr>
        <w:t> </w:t>
      </w:r>
      <w:r>
        <w:rPr>
          <w:rFonts w:hint="eastAsia" w:ascii="仿宋_GB2312" w:eastAsia="仿宋_GB2312"/>
          <w:b/>
          <w:sz w:val="24"/>
          <w:szCs w:val="24"/>
        </w:rPr>
        <w:t>.影响投资者决策的其他重要信息</w:t>
      </w:r>
    </w:p>
    <w:p>
      <w:pPr>
        <w:rPr>
          <w:rFonts w:ascii="仿宋_GB2312" w:eastAsia="仿宋_GB2312"/>
          <w:sz w:val="24"/>
          <w:szCs w:val="24"/>
        </w:rPr>
      </w:pPr>
      <w:r>
        <w:rPr>
          <w:rFonts w:hint="eastAsia" w:ascii="仿宋_GB2312" w:eastAsia="仿宋_GB2312"/>
          <w:sz w:val="24"/>
          <w:szCs w:val="24"/>
        </w:rPr>
        <w:t>无。</w:t>
      </w:r>
    </w:p>
    <w:p>
      <w:pPr>
        <w:snapToGrid w:val="0"/>
        <w:spacing w:line="360" w:lineRule="auto"/>
        <w:rPr>
          <w:rFonts w:ascii="仿宋_GB2312" w:eastAsia="仿宋_GB2312"/>
          <w:b/>
          <w:sz w:val="24"/>
          <w:szCs w:val="24"/>
        </w:rPr>
      </w:pPr>
      <w:r>
        <w:rPr>
          <w:rFonts w:hint="eastAsia" w:ascii="仿宋_GB2312" w:eastAsia="仿宋_GB2312"/>
          <w:b/>
          <w:sz w:val="24"/>
          <w:szCs w:val="24"/>
        </w:rPr>
        <w:t>7.托管机构报告</w:t>
      </w:r>
    </w:p>
    <w:p>
      <w:pPr>
        <w:snapToGrid w:val="0"/>
        <w:spacing w:line="360" w:lineRule="auto"/>
        <w:ind w:firstLine="360"/>
        <w:rPr>
          <w:rFonts w:ascii="仿宋_GB2312" w:eastAsia="仿宋_GB2312"/>
          <w:color w:val="000000"/>
          <w:sz w:val="24"/>
          <w:szCs w:val="24"/>
        </w:rPr>
      </w:pPr>
      <w:r>
        <w:rPr>
          <w:rFonts w:hint="eastAsia" w:ascii="仿宋_GB2312" w:eastAsia="仿宋_GB2312"/>
          <w:color w:val="000000"/>
          <w:sz w:val="24"/>
          <w:szCs w:val="24"/>
        </w:rPr>
        <w:t>本报告期内，上海浦东发展银行股份有限公司（以下简称“本托管人”）在对本产品托管过程中，严格遵守《关于规范金融机构资产管理业务的指导意见》（银发〔2018〕106号）、《商业银行理财业务监督管理办法》（银保监会令〔2018〕6号）及其他有关法律法规、产品合同、托管协议的规定，不存在损害产品份额持有人利益的行为，完全尽职尽责地履行了托管人应尽的义务。</w:t>
      </w:r>
    </w:p>
    <w:p>
      <w:pPr>
        <w:snapToGrid w:val="0"/>
        <w:spacing w:line="360" w:lineRule="auto"/>
        <w:ind w:firstLine="360"/>
        <w:rPr>
          <w:rFonts w:ascii="仿宋_GB2312" w:eastAsia="仿宋_GB2312"/>
          <w:color w:val="000000"/>
          <w:sz w:val="24"/>
          <w:szCs w:val="24"/>
        </w:rPr>
      </w:pPr>
      <w:r>
        <w:rPr>
          <w:rFonts w:hint="eastAsia" w:ascii="仿宋_GB2312" w:eastAsia="仿宋_GB2312"/>
          <w:color w:val="000000"/>
          <w:sz w:val="24"/>
          <w:szCs w:val="24"/>
        </w:rPr>
        <w:t>本报告期内，本托管人依照《关于规范金融机构资产管理业务的指导意见》（银发〔2018〕106号）、《商业银行理财业务监督管理办法》（银保监会令〔2018〕6号）及其他有关法律法规、产品合同、托管协议的规定，对本产品的投资运作进行了监督，对本报告中的财务指标、净值表现、投资组合报告等内容进行了认真的复核，未发现产品管理人存在损害产品份额持有人利益的行为。</w:t>
      </w:r>
    </w:p>
    <w:p>
      <w:pPr>
        <w:snapToGrid w:val="0"/>
        <w:spacing w:line="360" w:lineRule="auto"/>
        <w:ind w:firstLine="360"/>
        <w:rPr>
          <w:rFonts w:ascii="仿宋_GB2312" w:eastAsia="仿宋_GB2312"/>
          <w:color w:val="000000"/>
          <w:sz w:val="24"/>
          <w:szCs w:val="24"/>
        </w:rPr>
      </w:pPr>
      <w:r>
        <w:rPr>
          <w:rFonts w:hint="eastAsia" w:ascii="仿宋_GB2312" w:eastAsia="仿宋_GB2312"/>
          <w:color w:val="000000"/>
          <w:sz w:val="24"/>
          <w:szCs w:val="24"/>
        </w:rPr>
        <w:t>本报告期内，由上海浦东发展银行编制的本托管人复核的本报告中的财务指标、净值表现、投资组合报告等内容真实、准确、完整。</w:t>
      </w:r>
    </w:p>
    <w:p>
      <w:pPr>
        <w:rPr>
          <w:rFonts w:ascii="仿宋_GB2312" w:eastAsia="仿宋_GB2312"/>
          <w:sz w:val="24"/>
          <w:szCs w:val="24"/>
        </w:rPr>
      </w:pPr>
    </w:p>
    <w:p>
      <w:pPr>
        <w:snapToGrid w:val="0"/>
        <w:spacing w:line="360" w:lineRule="auto"/>
        <w:rPr>
          <w:rFonts w:ascii="仿宋_GB2312" w:eastAsia="仿宋_GB2312"/>
          <w:b/>
          <w:sz w:val="24"/>
          <w:szCs w:val="24"/>
        </w:rPr>
      </w:pPr>
      <w:r>
        <w:rPr>
          <w:rFonts w:hint="eastAsia" w:ascii="仿宋_GB2312" w:eastAsia="仿宋_GB2312"/>
          <w:b/>
          <w:sz w:val="24"/>
          <w:szCs w:val="24"/>
        </w:rPr>
        <w:t>8.备查文件</w:t>
      </w:r>
    </w:p>
    <w:p>
      <w:pPr>
        <w:snapToGrid w:val="0"/>
        <w:spacing w:line="360" w:lineRule="auto"/>
        <w:ind w:firstLine="480"/>
        <w:rPr>
          <w:rFonts w:ascii="仿宋_GB2312" w:eastAsia="仿宋_GB2312"/>
          <w:b/>
          <w:bCs/>
          <w:color w:val="000000"/>
          <w:sz w:val="24"/>
          <w:szCs w:val="24"/>
        </w:rPr>
      </w:pPr>
      <w:r>
        <w:rPr>
          <w:rFonts w:hint="eastAsia" w:ascii="仿宋_GB2312" w:eastAsia="仿宋_GB2312"/>
          <w:b/>
          <w:bCs/>
          <w:color w:val="000000"/>
          <w:sz w:val="24"/>
          <w:szCs w:val="24"/>
        </w:rPr>
        <w:t>8.1 备查文件目录</w:t>
      </w:r>
    </w:p>
    <w:p>
      <w:pPr>
        <w:snapToGrid w:val="0"/>
        <w:spacing w:line="360" w:lineRule="auto"/>
        <w:ind w:firstLine="600"/>
        <w:rPr>
          <w:rFonts w:ascii="仿宋_GB2312" w:eastAsia="仿宋_GB2312"/>
          <w:color w:val="000000"/>
          <w:sz w:val="24"/>
          <w:szCs w:val="24"/>
        </w:rPr>
      </w:pPr>
      <w:r>
        <w:rPr>
          <w:rFonts w:hint="eastAsia" w:ascii="仿宋_GB2312" w:eastAsia="仿宋_GB2312"/>
          <w:color w:val="000000"/>
          <w:sz w:val="24"/>
          <w:szCs w:val="24"/>
        </w:rPr>
        <w:t>产品说明书</w:t>
      </w:r>
    </w:p>
    <w:p>
      <w:pPr>
        <w:snapToGrid w:val="0"/>
        <w:spacing w:line="360" w:lineRule="auto"/>
        <w:ind w:firstLine="600"/>
        <w:rPr>
          <w:rFonts w:ascii="仿宋_GB2312" w:eastAsia="仿宋_GB2312"/>
          <w:color w:val="000000"/>
          <w:sz w:val="24"/>
          <w:szCs w:val="24"/>
        </w:rPr>
      </w:pPr>
      <w:r>
        <w:rPr>
          <w:rFonts w:hint="eastAsia" w:ascii="仿宋_GB2312" w:eastAsia="仿宋_GB2312"/>
          <w:color w:val="000000"/>
          <w:sz w:val="24"/>
          <w:szCs w:val="24"/>
        </w:rPr>
        <w:t>销售协议</w:t>
      </w:r>
    </w:p>
    <w:p>
      <w:pPr>
        <w:snapToGrid w:val="0"/>
        <w:spacing w:line="360" w:lineRule="auto"/>
        <w:ind w:firstLine="600"/>
        <w:rPr>
          <w:rFonts w:ascii="仿宋_GB2312" w:eastAsia="仿宋_GB2312"/>
          <w:color w:val="000000"/>
          <w:sz w:val="24"/>
          <w:szCs w:val="24"/>
        </w:rPr>
      </w:pPr>
      <w:r>
        <w:rPr>
          <w:rFonts w:hint="eastAsia" w:ascii="仿宋_GB2312" w:eastAsia="仿宋_GB2312"/>
          <w:color w:val="000000"/>
          <w:sz w:val="24"/>
          <w:szCs w:val="24"/>
        </w:rPr>
        <w:t>风险揭示书</w:t>
      </w:r>
    </w:p>
    <w:p>
      <w:pPr>
        <w:snapToGrid w:val="0"/>
        <w:spacing w:line="360" w:lineRule="auto"/>
        <w:ind w:firstLine="600"/>
        <w:rPr>
          <w:rFonts w:ascii="仿宋_GB2312" w:eastAsia="仿宋_GB2312"/>
          <w:color w:val="000000"/>
          <w:sz w:val="24"/>
          <w:szCs w:val="24"/>
        </w:rPr>
      </w:pPr>
      <w:r>
        <w:rPr>
          <w:rFonts w:hint="eastAsia" w:ascii="仿宋_GB2312" w:eastAsia="仿宋_GB2312"/>
          <w:color w:val="000000"/>
          <w:sz w:val="24"/>
          <w:szCs w:val="24"/>
        </w:rPr>
        <w:t>投资者权益须知</w:t>
      </w:r>
    </w:p>
    <w:p>
      <w:pPr>
        <w:snapToGrid w:val="0"/>
        <w:spacing w:line="360" w:lineRule="auto"/>
        <w:ind w:firstLine="480"/>
        <w:rPr>
          <w:rFonts w:ascii="仿宋_GB2312" w:eastAsia="仿宋_GB2312"/>
          <w:b/>
          <w:bCs/>
          <w:color w:val="000000"/>
          <w:sz w:val="24"/>
          <w:szCs w:val="24"/>
        </w:rPr>
      </w:pPr>
      <w:r>
        <w:rPr>
          <w:rFonts w:hint="eastAsia" w:ascii="仿宋_GB2312" w:eastAsia="仿宋_GB2312"/>
          <w:b/>
          <w:bCs/>
          <w:color w:val="000000"/>
          <w:sz w:val="24"/>
          <w:szCs w:val="24"/>
        </w:rPr>
        <w:t>8.2 存放地点</w:t>
      </w:r>
    </w:p>
    <w:p>
      <w:pPr>
        <w:snapToGrid w:val="0"/>
        <w:spacing w:line="360" w:lineRule="auto"/>
        <w:ind w:firstLine="480"/>
        <w:rPr>
          <w:rFonts w:ascii="仿宋_GB2312" w:eastAsia="仿宋_GB2312"/>
          <w:b/>
          <w:bCs/>
          <w:color w:val="000000"/>
          <w:sz w:val="24"/>
          <w:szCs w:val="24"/>
        </w:rPr>
      </w:pPr>
      <w:r>
        <w:rPr>
          <w:rFonts w:hint="eastAsia" w:ascii="仿宋_GB2312" w:eastAsia="仿宋_GB2312"/>
          <w:color w:val="000000"/>
          <w:sz w:val="24"/>
          <w:szCs w:val="24"/>
        </w:rPr>
        <w:t>上海市北京东路689号东银大厦</w:t>
      </w:r>
    </w:p>
    <w:p>
      <w:pPr>
        <w:snapToGrid w:val="0"/>
        <w:spacing w:line="360" w:lineRule="auto"/>
        <w:ind w:firstLine="480"/>
        <w:rPr>
          <w:rFonts w:ascii="仿宋_GB2312" w:eastAsia="仿宋_GB2312"/>
          <w:b/>
          <w:bCs/>
          <w:color w:val="000000"/>
          <w:sz w:val="24"/>
          <w:szCs w:val="24"/>
        </w:rPr>
      </w:pPr>
      <w:r>
        <w:rPr>
          <w:rFonts w:hint="eastAsia" w:ascii="仿宋_GB2312" w:eastAsia="仿宋_GB2312"/>
          <w:b/>
          <w:bCs/>
          <w:color w:val="000000"/>
          <w:sz w:val="24"/>
          <w:szCs w:val="24"/>
        </w:rPr>
        <w:t>8.3 查阅方式</w:t>
      </w:r>
    </w:p>
    <w:p>
      <w:pPr>
        <w:snapToGrid w:val="0"/>
        <w:spacing w:line="360" w:lineRule="auto"/>
        <w:ind w:firstLine="480"/>
        <w:rPr>
          <w:rFonts w:ascii="仿宋_GB2312" w:eastAsia="仿宋_GB2312"/>
          <w:b/>
          <w:bCs/>
          <w:sz w:val="24"/>
          <w:szCs w:val="24"/>
        </w:rPr>
      </w:pPr>
      <w:r>
        <w:rPr>
          <w:rFonts w:hint="eastAsia" w:ascii="仿宋_GB2312" w:eastAsia="仿宋_GB2312"/>
          <w:color w:val="000000"/>
          <w:sz w:val="24"/>
          <w:szCs w:val="24"/>
        </w:rPr>
        <w:t>浦发银行官方网站：</w:t>
      </w:r>
      <w:r>
        <w:fldChar w:fldCharType="begin"/>
      </w:r>
      <w:r>
        <w:instrText xml:space="preserve"> HYPERLINK "http://www.spdb.com.cn/" </w:instrText>
      </w:r>
      <w:r>
        <w:fldChar w:fldCharType="separate"/>
      </w:r>
      <w:r>
        <w:rPr>
          <w:rStyle w:val="7"/>
          <w:rFonts w:hint="eastAsia" w:ascii="仿宋_GB2312" w:eastAsia="仿宋_GB2312"/>
          <w:sz w:val="24"/>
          <w:szCs w:val="24"/>
        </w:rPr>
        <w:t>http://www.spdb.com.cn/</w:t>
      </w:r>
      <w:r>
        <w:rPr>
          <w:rStyle w:val="7"/>
          <w:rFonts w:hint="eastAsia" w:ascii="仿宋_GB2312" w:eastAsia="仿宋_GB2312"/>
          <w:sz w:val="24"/>
          <w:szCs w:val="24"/>
        </w:rPr>
        <w:fldChar w:fldCharType="end"/>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altName w:val="Arial Unicode MS"/>
    <w:panose1 w:val="00000000000000000000"/>
    <w:charset w:val="86"/>
    <w:family w:val="auto"/>
    <w:pitch w:val="default"/>
    <w:sig w:usb0="00000000" w:usb1="0000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仿宋_GB2312">
    <w:panose1 w:val="02010609030101010101"/>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4"/>
      </w:pPr>
      <w:r>
        <w:rPr>
          <w:rStyle w:val="8"/>
        </w:rPr>
        <w:footnoteRef/>
      </w:r>
      <w:r>
        <w:rPr>
          <w:rFonts w:hint="eastAsia"/>
          <w:sz w:val="15"/>
          <w:szCs w:val="15"/>
        </w:rPr>
        <w:t>产品登记编码指本产品在全国银行理财信息登记系统获取的登记编码。</w:t>
      </w:r>
    </w:p>
  </w:footnote>
  <w:footnote w:id="1">
    <w:p>
      <w:pPr>
        <w:pStyle w:val="4"/>
        <w:rPr>
          <w:sz w:val="15"/>
          <w:szCs w:val="15"/>
        </w:rPr>
      </w:pPr>
      <w:r>
        <w:rPr>
          <w:rStyle w:val="8"/>
        </w:rPr>
        <w:footnoteRef/>
      </w:r>
      <w:r>
        <w:rPr>
          <w:rFonts w:hint="eastAsia"/>
        </w:rPr>
        <w:t xml:space="preserve"> </w:t>
      </w:r>
      <w:r>
        <w:rPr>
          <w:rFonts w:hint="eastAsia"/>
          <w:sz w:val="15"/>
          <w:szCs w:val="15"/>
        </w:rPr>
        <w:t>本报告所称非标准化债权资产，指根据《关于规范金融机构资产管理业务的指导意见》（银发〔2018〕106号）规定，标准化债权类资产之外的债权类资产。</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262"/>
    <w:rsid w:val="00023644"/>
    <w:rsid w:val="00077F23"/>
    <w:rsid w:val="00130728"/>
    <w:rsid w:val="001814DB"/>
    <w:rsid w:val="00211495"/>
    <w:rsid w:val="00213ECF"/>
    <w:rsid w:val="00274D37"/>
    <w:rsid w:val="00367DBF"/>
    <w:rsid w:val="00380BE2"/>
    <w:rsid w:val="003F480F"/>
    <w:rsid w:val="00400A77"/>
    <w:rsid w:val="0041011E"/>
    <w:rsid w:val="0041666B"/>
    <w:rsid w:val="0042245C"/>
    <w:rsid w:val="00442040"/>
    <w:rsid w:val="0048092C"/>
    <w:rsid w:val="004E272F"/>
    <w:rsid w:val="00564E1C"/>
    <w:rsid w:val="0058623B"/>
    <w:rsid w:val="005B0E63"/>
    <w:rsid w:val="006304A5"/>
    <w:rsid w:val="006E00B8"/>
    <w:rsid w:val="007167B6"/>
    <w:rsid w:val="00781652"/>
    <w:rsid w:val="007D042E"/>
    <w:rsid w:val="007E2254"/>
    <w:rsid w:val="008579C9"/>
    <w:rsid w:val="008D4921"/>
    <w:rsid w:val="009027FB"/>
    <w:rsid w:val="0093653B"/>
    <w:rsid w:val="00973891"/>
    <w:rsid w:val="009B6B6E"/>
    <w:rsid w:val="009F0B98"/>
    <w:rsid w:val="00A7331C"/>
    <w:rsid w:val="00A768E1"/>
    <w:rsid w:val="00B2798E"/>
    <w:rsid w:val="00B9403A"/>
    <w:rsid w:val="00BB17CD"/>
    <w:rsid w:val="00C2222B"/>
    <w:rsid w:val="00CA6A9F"/>
    <w:rsid w:val="00D170C5"/>
    <w:rsid w:val="00D37F3B"/>
    <w:rsid w:val="00D601E1"/>
    <w:rsid w:val="00DC25F6"/>
    <w:rsid w:val="00DD0D5E"/>
    <w:rsid w:val="00DE1F30"/>
    <w:rsid w:val="00DE496A"/>
    <w:rsid w:val="00E61C1A"/>
    <w:rsid w:val="00E63347"/>
    <w:rsid w:val="00F864D2"/>
    <w:rsid w:val="00FB1262"/>
    <w:rsid w:val="00FB4D10"/>
    <w:rsid w:val="00FC64B6"/>
    <w:rsid w:val="5E641129"/>
    <w:rsid w:val="63D47D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简体" w:cs="Times New Roman"/>
      <w:kern w:val="2"/>
      <w:sz w:val="32"/>
      <w:szCs w:val="20"/>
      <w:lang w:val="en-US" w:eastAsia="zh-CN" w:bidi="ar-SA"/>
    </w:rPr>
  </w:style>
  <w:style w:type="character" w:default="1" w:styleId="6">
    <w:name w:val="Default Paragraph Font"/>
    <w:semiHidden/>
    <w:unhideWhenUsed/>
    <w:uiPriority w:val="1"/>
  </w:style>
  <w:style w:type="table" w:default="1" w:styleId="9">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12"/>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11"/>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footnote text"/>
    <w:basedOn w:val="1"/>
    <w:link w:val="13"/>
    <w:semiHidden/>
    <w:qFormat/>
    <w:uiPriority w:val="99"/>
    <w:pPr>
      <w:snapToGrid w:val="0"/>
      <w:jc w:val="left"/>
    </w:pPr>
    <w:rPr>
      <w:rFonts w:eastAsia="宋体"/>
      <w:sz w:val="18"/>
      <w:szCs w:val="18"/>
    </w:rPr>
  </w:style>
  <w:style w:type="paragraph" w:styleId="5">
    <w:name w:val="Normal (Web)"/>
    <w:basedOn w:val="1"/>
    <w:qFormat/>
    <w:uiPriority w:val="99"/>
    <w:pPr>
      <w:widowControl/>
      <w:spacing w:before="100" w:beforeAutospacing="1" w:after="100" w:afterAutospacing="1"/>
      <w:jc w:val="left"/>
    </w:pPr>
    <w:rPr>
      <w:rFonts w:ascii="宋体" w:hAnsi="宋体" w:eastAsia="宋体"/>
      <w:kern w:val="0"/>
      <w:sz w:val="24"/>
      <w:szCs w:val="24"/>
    </w:rPr>
  </w:style>
  <w:style w:type="character" w:styleId="7">
    <w:name w:val="Hyperlink"/>
    <w:basedOn w:val="6"/>
    <w:semiHidden/>
    <w:unhideWhenUsed/>
    <w:uiPriority w:val="99"/>
    <w:rPr>
      <w:color w:val="0000FF"/>
      <w:u w:val="single"/>
    </w:rPr>
  </w:style>
  <w:style w:type="character" w:styleId="8">
    <w:name w:val="footnote reference"/>
    <w:semiHidden/>
    <w:qFormat/>
    <w:uiPriority w:val="99"/>
    <w:rPr>
      <w:vertAlign w:val="superscript"/>
    </w:rPr>
  </w:style>
  <w:style w:type="table" w:styleId="10">
    <w:name w:val="Table Grid"/>
    <w:basedOn w:val="9"/>
    <w:qFormat/>
    <w:uiPriority w:val="5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1">
    <w:name w:val="页眉 Char"/>
    <w:basedOn w:val="6"/>
    <w:link w:val="3"/>
    <w:uiPriority w:val="99"/>
    <w:rPr>
      <w:sz w:val="18"/>
      <w:szCs w:val="18"/>
    </w:rPr>
  </w:style>
  <w:style w:type="character" w:customStyle="1" w:styleId="12">
    <w:name w:val="页脚 Char"/>
    <w:basedOn w:val="6"/>
    <w:link w:val="2"/>
    <w:qFormat/>
    <w:uiPriority w:val="99"/>
    <w:rPr>
      <w:sz w:val="18"/>
      <w:szCs w:val="18"/>
    </w:rPr>
  </w:style>
  <w:style w:type="character" w:customStyle="1" w:styleId="13">
    <w:name w:val="脚注文本 Char"/>
    <w:basedOn w:val="6"/>
    <w:link w:val="4"/>
    <w:semiHidden/>
    <w:qFormat/>
    <w:uiPriority w:val="99"/>
    <w:rPr>
      <w:rFonts w:ascii="Times New Roman" w:hAnsi="Times New Roman" w:eastAsia="宋体" w:cs="Times New Roman"/>
      <w:sz w:val="18"/>
      <w:szCs w:val="18"/>
    </w:rPr>
  </w:style>
  <w:style w:type="paragraph" w:customStyle="1" w:styleId="14">
    <w:name w:val="xl33"/>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399</Words>
  <Characters>2276</Characters>
  <Lines>18</Lines>
  <Paragraphs>5</Paragraphs>
  <TotalTime>3</TotalTime>
  <ScaleCrop>false</ScaleCrop>
  <LinksUpToDate>false</LinksUpToDate>
  <CharactersWithSpaces>2670</CharactersWithSpaces>
  <Application>WPS Office_10.8.2.6870_F1E327BC-269C-435d-A152-05C5408002CA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2019-08-06T07:15:00Z</dcterms:created>
  <dc:creator>DEVVDI02</dc:creator>
  <cp:lastModifiedBy>user</cp:lastModifiedBy>
  <dcterms:modified xsi:type="dcterms:W3CDTF">2021-07-15T01:01:48Z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2052-10.8.2.6870</vt:lpwstr>
  </property>
</Properties>
</file>