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浦发银行鑫盈利系列1年定开4号理财产品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2301202504(销售代码:2301202801/2301202802/2301202803/2301202804)</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96,363,428.46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2301202801 : 3.70%-4.20%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2301202802 : 3.73%-4.23%</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2301202803 : 3.75%-4.25%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2301202804 : 3.85%-4.35%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-01至</w:t>
            </w:r>
            <w:bookmarkStart w:id="0" w:name="_GoBack"/>
            <w:bookmarkEnd w:id="0"/>
            <w:r>
              <w:rPr>
                <w:rFonts w:hint="eastAsia" w:ascii="仿宋_GB2312" w:eastAsia="仿宋_GB2312"/>
                <w:color w:val="000000"/>
                <w:kern w:val="0"/>
                <w:sz w:val="24"/>
                <w:szCs w:val="24"/>
              </w:rPr>
              <w:t>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2301202801 : 38,961,187.43</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2,536,152.09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8,908,135.95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50,739,716.82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2301202801 : 1.0491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1.0495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1.0498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2301202801 : 1.0491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2301202802 : 1.0495</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2301202803 : 1.0498</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2301202804 : 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19,839,846.28</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81,194,401.87</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1,623,760.12</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102,658,008.27</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101.50%</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pacing w:line="360" w:lineRule="auto"/>
        <w:ind w:firstLine="482"/>
        <w:rPr>
          <w:rFonts w:ascii="仿宋_GB2312" w:hAnsi="Calibri" w:eastAsia="仿宋_GB2312"/>
          <w:sz w:val="24"/>
          <w:szCs w:val="24"/>
        </w:rPr>
      </w:pPr>
      <w:r>
        <w:rPr>
          <w:rFonts w:hint="eastAsia" w:ascii="仿宋_GB2312" w:eastAsia="仿宋_GB2312" w:hAnsiTheme="minorEastAsia"/>
          <w:bCs/>
          <w:sz w:val="24"/>
          <w:szCs w:val="24"/>
        </w:rPr>
        <w:t>投资策略以配置中短</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的高等级信用债为主,适当杠杆增厚收益，相机配置长</w:t>
      </w:r>
      <w:r>
        <w:rPr>
          <w:rFonts w:hint="eastAsia" w:ascii="仿宋_GB2312" w:eastAsia="仿宋_GB2312" w:hAnsiTheme="minorEastAsia"/>
          <w:bCs/>
          <w:sz w:val="24"/>
          <w:szCs w:val="24"/>
          <w:lang w:val="en-US" w:eastAsia="zh-CN"/>
        </w:rPr>
        <w:t>期限</w:t>
      </w:r>
      <w:r>
        <w:rPr>
          <w:rFonts w:hint="eastAsia" w:ascii="仿宋_GB2312" w:eastAsia="仿宋_GB2312" w:hAnsiTheme="minorEastAsia"/>
          <w:bCs/>
          <w:sz w:val="24"/>
          <w:szCs w:val="24"/>
        </w:rPr>
        <w:t>利率债挖掘超额收益。</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银行存款</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19,839,846.28</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19.62%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19西青经开PPN001</w:t>
            </w:r>
          </w:p>
        </w:tc>
        <w:tc>
          <w:tcPr>
            <w:tcW w:w="2835" w:type="dxa"/>
          </w:tcPr>
          <w:p>
            <w:pPr>
              <w:jc w:val="center"/>
              <w:textAlignment w:val="auto"/>
            </w:pPr>
            <w:r>
              <w:rPr>
                <w:rFonts w:ascii="Times New Roman" w:hAnsi="Times New Roman" w:eastAsia="Times New Roman" w:cs="Times New Roman"/>
                <w:b w:val="0"/>
                <w:i w:val="0"/>
                <w:color w:val="000000"/>
                <w:sz w:val="24"/>
                <w:u w:val="none"/>
              </w:rPr>
              <w:t>8,103,923.56</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19绿城房产MTN001</w:t>
            </w:r>
          </w:p>
        </w:tc>
        <w:tc>
          <w:tcPr>
            <w:tcW w:w="2835" w:type="dxa"/>
          </w:tcPr>
          <w:p>
            <w:pPr>
              <w:jc w:val="center"/>
              <w:textAlignment w:val="auto"/>
            </w:pPr>
            <w:r>
              <w:rPr>
                <w:rFonts w:ascii="Times New Roman" w:hAnsi="Times New Roman" w:eastAsia="Times New Roman" w:cs="Times New Roman"/>
                <w:b w:val="0"/>
                <w:i w:val="0"/>
                <w:color w:val="000000"/>
                <w:sz w:val="24"/>
                <w:u w:val="none"/>
              </w:rPr>
              <w:t>8,062,863.82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19余杭经开PPN001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8,053,992.92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19余杭城开PPN001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8,024,322.38</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20江北建设PPN001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8,017,600.00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20攀钢集CP002</w:t>
            </w:r>
          </w:p>
        </w:tc>
        <w:tc>
          <w:tcPr>
            <w:tcW w:w="2835" w:type="dxa"/>
          </w:tcPr>
          <w:p>
            <w:pPr>
              <w:jc w:val="center"/>
              <w:textAlignment w:val="auto"/>
            </w:pPr>
            <w:r>
              <w:rPr>
                <w:rFonts w:ascii="Times New Roman" w:hAnsi="Times New Roman" w:eastAsia="Times New Roman" w:cs="Times New Roman"/>
                <w:b w:val="0"/>
                <w:i w:val="0"/>
                <w:color w:val="000000"/>
                <w:sz w:val="24"/>
                <w:u w:val="none"/>
              </w:rPr>
              <w:t>7,999,706.11</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20华润租赁(疫情防控债)PPN001</w:t>
            </w:r>
          </w:p>
        </w:tc>
        <w:tc>
          <w:tcPr>
            <w:tcW w:w="2835" w:type="dxa"/>
          </w:tcPr>
          <w:p>
            <w:pPr>
              <w:jc w:val="center"/>
              <w:textAlignment w:val="auto"/>
            </w:pPr>
            <w:r>
              <w:rPr>
                <w:rFonts w:ascii="Times New Roman" w:hAnsi="Times New Roman" w:eastAsia="Times New Roman" w:cs="Times New Roman"/>
                <w:b w:val="0"/>
                <w:i w:val="0"/>
                <w:color w:val="000000"/>
                <w:sz w:val="24"/>
                <w:u w:val="none"/>
              </w:rPr>
              <w:t>7,995,859.32</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20滁州城投PPN002</w:t>
            </w:r>
          </w:p>
        </w:tc>
        <w:tc>
          <w:tcPr>
            <w:tcW w:w="2835" w:type="dxa"/>
          </w:tcPr>
          <w:p>
            <w:pPr>
              <w:jc w:val="center"/>
              <w:textAlignment w:val="auto"/>
            </w:pPr>
            <w:r>
              <w:rPr>
                <w:rFonts w:ascii="Times New Roman" w:hAnsi="Times New Roman" w:eastAsia="Times New Roman" w:cs="Times New Roman"/>
                <w:b w:val="0"/>
                <w:i w:val="0"/>
                <w:color w:val="000000"/>
                <w:sz w:val="24"/>
                <w:u w:val="none"/>
              </w:rPr>
              <w:t>7,946,159.70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20青岛城乡PPN001</w:t>
            </w:r>
          </w:p>
        </w:tc>
        <w:tc>
          <w:tcPr>
            <w:tcW w:w="2835" w:type="dxa"/>
          </w:tcPr>
          <w:p>
            <w:pPr>
              <w:jc w:val="center"/>
              <w:textAlignment w:val="auto"/>
            </w:pPr>
            <w:r>
              <w:rPr>
                <w:rFonts w:ascii="Times New Roman" w:hAnsi="Times New Roman" w:eastAsia="Times New Roman" w:cs="Times New Roman"/>
                <w:b w:val="0"/>
                <w:i w:val="0"/>
                <w:color w:val="000000"/>
                <w:sz w:val="24"/>
                <w:u w:val="none"/>
              </w:rPr>
              <w:t>7,909,600.00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7.82%</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3EFA2ABB"/>
    <w:rsid w:val="5F29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1</TotalTime>
  <ScaleCrop>false</ScaleCrop>
  <LinksUpToDate>false</LinksUpToDate>
  <CharactersWithSpaces>2670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2021-07-15T01:01:22Z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