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浦发银行鑫盈利系列1年定开12号理财产品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2301192534</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C1031019000549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1,688,988,993.62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2301192534 : 3.90%-4.20%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bookmarkStart w:id="0" w:name="_GoBack"/>
            <w:bookmarkEnd w:id="0"/>
            <w:r>
              <w:rPr>
                <w:rFonts w:hint="eastAsia" w:ascii="仿宋_GB2312" w:eastAsia="仿宋_GB2312"/>
                <w:color w:val="000000"/>
                <w:kern w:val="0"/>
                <w:sz w:val="24"/>
                <w:szCs w:val="24"/>
              </w:rPr>
              <w:t>-01至2021-06-30）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2301192534 : 1,772,369,910.74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2301192534 : 1.0494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2301192534 : 1.0494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2,295,561.41</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2</w:t>
            </w:r>
          </w:p>
        </w:tc>
        <w:tc>
          <w:tcPr>
            <w:tcW w:w="2620" w:type="dxa"/>
            <w:vAlign w:val="center"/>
          </w:tcPr>
          <w:p>
            <w:pPr>
              <w:jc w:val="center"/>
            </w:pPr>
            <w:r>
              <w:rPr>
                <w:rFonts w:ascii="仿宋_GB2312" w:hAnsi="Calibri" w:eastAsia="仿宋_GB2312" w:cs="宋体"/>
                <w:color w:val="000000"/>
                <w:sz w:val="24"/>
              </w:rPr>
              <w:t>债券投资</w:t>
            </w:r>
          </w:p>
        </w:tc>
        <w:tc>
          <w:tcPr>
            <w:tcW w:w="2694" w:type="dxa"/>
            <w:vAlign w:val="center"/>
          </w:tcPr>
          <w:p>
            <w:pPr>
              <w:jc w:val="center"/>
            </w:pPr>
            <w:r>
              <w:rPr>
                <w:rFonts w:ascii="仿宋_GB2312" w:hAnsi="Calibri" w:eastAsia="仿宋_GB2312" w:cs="宋体"/>
                <w:color w:val="000000"/>
                <w:sz w:val="24"/>
              </w:rPr>
              <w:t>1,886,209,401.50</w:t>
            </w:r>
          </w:p>
        </w:tc>
        <w:tc>
          <w:tcPr>
            <w:tcW w:w="2477" w:type="dxa"/>
            <w:vAlign w:val="center"/>
          </w:tcPr>
          <w:p>
            <w:pPr>
              <w:jc w:val="center"/>
            </w:pPr>
            <w:r>
              <w:rPr>
                <w:rFonts w:ascii="仿宋_GB2312" w:hAnsi="Calibri" w:eastAsia="仿宋_GB2312" w:cs="宋体"/>
                <w:color w:val="000000"/>
                <w:sz w:val="24"/>
              </w:rPr>
              <w:t>106.42%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3</w:t>
            </w:r>
          </w:p>
        </w:tc>
        <w:tc>
          <w:tcPr>
            <w:tcW w:w="2620" w:type="dxa"/>
            <w:vAlign w:val="center"/>
          </w:tcPr>
          <w:p>
            <w:pPr>
              <w:jc w:val="center"/>
            </w:pPr>
            <w:r>
              <w:rPr>
                <w:rFonts w:ascii="仿宋_GB2312" w:hAnsi="Calibri" w:eastAsia="仿宋_GB2312" w:cs="宋体"/>
                <w:color w:val="000000"/>
                <w:sz w:val="24"/>
              </w:rPr>
              <w:t>资产支持证券投资</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4</w:t>
            </w:r>
          </w:p>
        </w:tc>
        <w:tc>
          <w:tcPr>
            <w:tcW w:w="2620" w:type="dxa"/>
            <w:vAlign w:val="center"/>
          </w:tcPr>
          <w:p>
            <w:pPr>
              <w:jc w:val="center"/>
            </w:pPr>
            <w:r>
              <w:rPr>
                <w:rFonts w:ascii="仿宋_GB2312" w:hAnsi="Calibri" w:eastAsia="仿宋_GB2312" w:cs="宋体"/>
                <w:color w:val="000000"/>
                <w:sz w:val="24"/>
              </w:rPr>
              <w:t>信托计划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5</w:t>
            </w:r>
          </w:p>
        </w:tc>
        <w:tc>
          <w:tcPr>
            <w:tcW w:w="2620" w:type="dxa"/>
            <w:vAlign w:val="center"/>
          </w:tcPr>
          <w:p>
            <w:pPr>
              <w:jc w:val="center"/>
            </w:pPr>
            <w:r>
              <w:rPr>
                <w:rFonts w:ascii="仿宋_GB2312" w:hAnsi="Calibri" w:eastAsia="仿宋_GB2312" w:cs="宋体"/>
                <w:color w:val="000000"/>
                <w:sz w:val="24"/>
              </w:rPr>
              <w:t>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6</w:t>
            </w:r>
          </w:p>
        </w:tc>
        <w:tc>
          <w:tcPr>
            <w:tcW w:w="2620" w:type="dxa"/>
            <w:vAlign w:val="center"/>
          </w:tcPr>
          <w:p>
            <w:pPr>
              <w:jc w:val="center"/>
            </w:pPr>
            <w:r>
              <w:rPr>
                <w:rFonts w:ascii="仿宋_GB2312" w:hAnsi="Calibri" w:eastAsia="仿宋_GB2312" w:cs="宋体"/>
                <w:color w:val="000000"/>
                <w:sz w:val="24"/>
              </w:rPr>
              <w:t>净值类资产管理计划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7</w:t>
            </w:r>
          </w:p>
        </w:tc>
        <w:tc>
          <w:tcPr>
            <w:tcW w:w="2620" w:type="dxa"/>
            <w:vAlign w:val="center"/>
          </w:tcPr>
          <w:p>
            <w:pPr>
              <w:jc w:val="center"/>
            </w:pPr>
            <w:r>
              <w:rPr>
                <w:rFonts w:ascii="仿宋_GB2312" w:hAnsi="Calibri" w:eastAsia="仿宋_GB2312" w:cs="宋体"/>
                <w:color w:val="000000"/>
                <w:sz w:val="24"/>
              </w:rPr>
              <w:t>资金拆出</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8</w:t>
            </w:r>
          </w:p>
        </w:tc>
        <w:tc>
          <w:tcPr>
            <w:tcW w:w="2620" w:type="dxa"/>
            <w:vAlign w:val="center"/>
          </w:tcPr>
          <w:p>
            <w:pPr>
              <w:jc w:val="center"/>
            </w:pPr>
            <w:r>
              <w:rPr>
                <w:rFonts w:ascii="仿宋_GB2312" w:hAnsi="Calibri" w:eastAsia="仿宋_GB2312" w:cs="宋体"/>
                <w:color w:val="000000"/>
                <w:sz w:val="24"/>
              </w:rPr>
              <w:t>结算备付金</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9</w:t>
            </w:r>
          </w:p>
        </w:tc>
        <w:tc>
          <w:tcPr>
            <w:tcW w:w="2620" w:type="dxa"/>
            <w:vAlign w:val="center"/>
          </w:tcPr>
          <w:p>
            <w:pPr>
              <w:jc w:val="center"/>
            </w:pPr>
            <w:r>
              <w:rPr>
                <w:rFonts w:ascii="仿宋_GB2312" w:hAnsi="Calibri" w:eastAsia="仿宋_GB2312" w:cs="宋体"/>
                <w:color w:val="000000"/>
                <w:sz w:val="24"/>
              </w:rPr>
              <w:t>买入返售金融资产</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10</w:t>
            </w:r>
          </w:p>
        </w:tc>
        <w:tc>
          <w:tcPr>
            <w:tcW w:w="2620" w:type="dxa"/>
            <w:vAlign w:val="center"/>
          </w:tcPr>
          <w:p>
            <w:pPr>
              <w:jc w:val="center"/>
            </w:pPr>
            <w:r>
              <w:rPr>
                <w:rFonts w:ascii="仿宋_GB2312" w:hAnsi="Calibri" w:eastAsia="仿宋_GB2312" w:cs="宋体"/>
                <w:color w:val="000000"/>
                <w:sz w:val="24"/>
              </w:rPr>
              <w:t>其他资产</w:t>
            </w:r>
          </w:p>
        </w:tc>
        <w:tc>
          <w:tcPr>
            <w:tcW w:w="2694" w:type="dxa"/>
            <w:vAlign w:val="center"/>
          </w:tcPr>
          <w:p>
            <w:pPr>
              <w:jc w:val="center"/>
            </w:pPr>
            <w:r>
              <w:rPr>
                <w:rFonts w:ascii="仿宋_GB2312" w:hAnsi="Calibri" w:eastAsia="仿宋_GB2312" w:cs="宋体"/>
                <w:color w:val="000000"/>
                <w:sz w:val="24"/>
              </w:rPr>
              <w:t>0.00</w:t>
            </w:r>
          </w:p>
        </w:tc>
        <w:tc>
          <w:tcPr>
            <w:tcW w:w="2477" w:type="dxa"/>
            <w:vAlign w:val="center"/>
          </w:tcPr>
          <w:p>
            <w:pPr>
              <w:jc w:val="center"/>
            </w:pPr>
            <w:r>
              <w:rPr>
                <w:rFonts w:ascii="仿宋_GB2312" w:hAnsi="Calibri" w:eastAsia="仿宋_GB2312"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11</w:t>
            </w:r>
          </w:p>
        </w:tc>
        <w:tc>
          <w:tcPr>
            <w:tcW w:w="2620" w:type="dxa"/>
            <w:vAlign w:val="center"/>
          </w:tcPr>
          <w:p>
            <w:pPr>
              <w:jc w:val="center"/>
            </w:pPr>
            <w:r>
              <w:rPr>
                <w:rFonts w:ascii="仿宋_GB2312" w:hAnsi="Calibri" w:eastAsia="仿宋_GB2312" w:cs="宋体"/>
                <w:color w:val="000000"/>
                <w:sz w:val="24"/>
              </w:rPr>
              <w:t>应收利息</w:t>
            </w:r>
          </w:p>
        </w:tc>
        <w:tc>
          <w:tcPr>
            <w:tcW w:w="2694" w:type="dxa"/>
            <w:vAlign w:val="center"/>
          </w:tcPr>
          <w:p>
            <w:pPr>
              <w:jc w:val="center"/>
            </w:pPr>
            <w:r>
              <w:rPr>
                <w:rFonts w:ascii="仿宋_GB2312" w:hAnsi="Calibri" w:eastAsia="仿宋_GB2312" w:cs="宋体"/>
                <w:color w:val="000000"/>
                <w:sz w:val="24"/>
              </w:rPr>
              <w:t>27,375,929.28</w:t>
            </w:r>
          </w:p>
        </w:tc>
        <w:tc>
          <w:tcPr>
            <w:tcW w:w="2477" w:type="dxa"/>
            <w:vAlign w:val="center"/>
          </w:tcPr>
          <w:p>
            <w:pPr>
              <w:jc w:val="center"/>
            </w:pPr>
            <w:r>
              <w:rPr>
                <w:rFonts w:ascii="仿宋_GB2312" w:hAnsi="Calibri" w:eastAsia="仿宋_GB2312" w:cs="宋体"/>
                <w:color w:val="000000"/>
                <w:sz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ascii="仿宋_GB2312" w:hAnsi="Calibri" w:eastAsia="仿宋_GB2312" w:cs="宋体"/>
                <w:color w:val="000000"/>
                <w:sz w:val="24"/>
              </w:rPr>
              <w:t>合计</w:t>
            </w:r>
          </w:p>
        </w:tc>
        <w:tc>
          <w:tcPr>
            <w:tcW w:w="2694" w:type="dxa"/>
            <w:vAlign w:val="center"/>
          </w:tcPr>
          <w:p>
            <w:pPr>
              <w:jc w:val="center"/>
            </w:pPr>
            <w:r>
              <w:rPr>
                <w:rFonts w:ascii="仿宋_GB2312" w:hAnsi="Calibri" w:eastAsia="仿宋_GB2312" w:cs="宋体"/>
                <w:color w:val="000000"/>
                <w:sz w:val="24"/>
              </w:rPr>
              <w:t>1,915,880,892.19</w:t>
            </w:r>
          </w:p>
        </w:tc>
        <w:tc>
          <w:tcPr>
            <w:tcW w:w="2477" w:type="dxa"/>
            <w:vAlign w:val="center"/>
          </w:tcPr>
          <w:p>
            <w:pPr>
              <w:jc w:val="center"/>
            </w:pPr>
            <w:r>
              <w:rPr>
                <w:rFonts w:ascii="仿宋_GB2312" w:hAnsi="Calibri" w:eastAsia="仿宋_GB2312" w:cs="宋体"/>
                <w:color w:val="000000"/>
                <w:sz w:val="24"/>
              </w:rPr>
              <w:t>108.10%</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报告期内，十年期国债收益率季末收在3.09%，债券收益率整体呈震荡下行。本产品采用混合估值，以配置中短久期的高等级信用债为主,通过分散化投资以及行内评审会流程精选个券，构建具有较好流动性、久期适中、信用风险可控的优质债券组合。本产品持仓以高评级信用债为主，杠杆率控制在合理水平，组合的流动性风险处于合理可控水平。</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21河钢集CP001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149,955,000.00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2</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20农业银行永续债01</w:t>
            </w:r>
          </w:p>
        </w:tc>
        <w:tc>
          <w:tcPr>
            <w:tcW w:w="2835" w:type="dxa"/>
          </w:tcPr>
          <w:p>
            <w:pPr>
              <w:jc w:val="center"/>
            </w:pPr>
            <w:r>
              <w:rPr>
                <w:rFonts w:ascii="仿宋_GB2312" w:hAnsi="Calibri" w:eastAsia="仿宋_GB2312" w:cs="宋体"/>
                <w:color w:val="000000"/>
                <w:sz w:val="24"/>
              </w:rPr>
              <w:t>117,458,880.00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6.63%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3</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17华夏银行二级01</w:t>
            </w:r>
          </w:p>
        </w:tc>
        <w:tc>
          <w:tcPr>
            <w:tcW w:w="2835" w:type="dxa"/>
          </w:tcPr>
          <w:p>
            <w:pPr>
              <w:jc w:val="center"/>
            </w:pPr>
            <w:r>
              <w:rPr>
                <w:rFonts w:ascii="仿宋_GB2312" w:hAnsi="Calibri" w:eastAsia="仿宋_GB2312" w:cs="宋体"/>
                <w:color w:val="000000"/>
                <w:sz w:val="24"/>
              </w:rPr>
              <w:t>101,500,000.00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5.73%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4</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21安吉租赁CP001</w:t>
            </w:r>
          </w:p>
        </w:tc>
        <w:tc>
          <w:tcPr>
            <w:tcW w:w="2835" w:type="dxa"/>
          </w:tcPr>
          <w:p>
            <w:pPr>
              <w:jc w:val="center"/>
            </w:pPr>
            <w:r>
              <w:rPr>
                <w:rFonts w:ascii="仿宋_GB2312" w:hAnsi="Calibri" w:eastAsia="仿宋_GB2312" w:cs="宋体"/>
                <w:color w:val="000000"/>
                <w:sz w:val="24"/>
              </w:rPr>
              <w:t>100,310,000.00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5.66%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5</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20潞安CP002</w:t>
            </w:r>
          </w:p>
        </w:tc>
        <w:tc>
          <w:tcPr>
            <w:tcW w:w="2835" w:type="dxa"/>
          </w:tcPr>
          <w:p>
            <w:pPr>
              <w:jc w:val="center"/>
            </w:pPr>
            <w:r>
              <w:rPr>
                <w:rFonts w:ascii="仿宋_GB2312" w:hAnsi="Calibri" w:eastAsia="仿宋_GB2312" w:cs="宋体"/>
                <w:color w:val="000000"/>
                <w:sz w:val="24"/>
              </w:rPr>
              <w:t>99,760,000.00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5.63%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6</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21中国银行CD007</w:t>
            </w:r>
          </w:p>
        </w:tc>
        <w:tc>
          <w:tcPr>
            <w:tcW w:w="2835" w:type="dxa"/>
          </w:tcPr>
          <w:p>
            <w:pPr>
              <w:jc w:val="center"/>
            </w:pPr>
            <w:r>
              <w:rPr>
                <w:rFonts w:ascii="仿宋_GB2312" w:hAnsi="Calibri" w:eastAsia="仿宋_GB2312" w:cs="宋体"/>
                <w:color w:val="000000"/>
                <w:sz w:val="24"/>
              </w:rPr>
              <w:t>97,920,000.00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5.52%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7</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21荣盛SCP005</w:t>
            </w:r>
          </w:p>
        </w:tc>
        <w:tc>
          <w:tcPr>
            <w:tcW w:w="2835" w:type="dxa"/>
          </w:tcPr>
          <w:p>
            <w:pPr>
              <w:jc w:val="center"/>
            </w:pPr>
            <w:r>
              <w:rPr>
                <w:rFonts w:ascii="仿宋_GB2312" w:hAnsi="Calibri" w:eastAsia="仿宋_GB2312" w:cs="宋体"/>
                <w:color w:val="000000"/>
                <w:sz w:val="24"/>
              </w:rPr>
              <w:t>90,081,000.00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5.08%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8</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21邯郸交建CP002</w:t>
            </w:r>
          </w:p>
        </w:tc>
        <w:tc>
          <w:tcPr>
            <w:tcW w:w="2835" w:type="dxa"/>
          </w:tcPr>
          <w:p>
            <w:pPr>
              <w:jc w:val="center"/>
            </w:pPr>
            <w:r>
              <w:rPr>
                <w:rFonts w:ascii="仿宋_GB2312" w:hAnsi="Calibri" w:eastAsia="仿宋_GB2312" w:cs="宋体"/>
                <w:color w:val="000000"/>
                <w:sz w:val="24"/>
              </w:rPr>
              <w:t>70,343,000.00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3.97%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9</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21新希望CP003</w:t>
            </w:r>
          </w:p>
        </w:tc>
        <w:tc>
          <w:tcPr>
            <w:tcW w:w="2835" w:type="dxa"/>
          </w:tcPr>
          <w:p>
            <w:pPr>
              <w:jc w:val="center"/>
            </w:pPr>
            <w:r>
              <w:rPr>
                <w:rFonts w:ascii="仿宋_GB2312" w:hAnsi="Calibri" w:eastAsia="仿宋_GB2312" w:cs="宋体"/>
                <w:color w:val="000000"/>
                <w:sz w:val="24"/>
              </w:rPr>
              <w:t>59,982,000.00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3.38%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10</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21国开01</w:t>
            </w:r>
          </w:p>
        </w:tc>
        <w:tc>
          <w:tcPr>
            <w:tcW w:w="2835" w:type="dxa"/>
          </w:tcPr>
          <w:p>
            <w:pPr>
              <w:jc w:val="center"/>
            </w:pPr>
            <w:r>
              <w:rPr>
                <w:rFonts w:ascii="仿宋_GB2312" w:hAnsi="Calibri" w:eastAsia="仿宋_GB2312" w:cs="宋体"/>
                <w:color w:val="000000"/>
                <w:sz w:val="24"/>
              </w:rPr>
              <w:t>59,919,579.54</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3.38%</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67E52"/>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6E00FF"/>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605EB"/>
    <w:rsid w:val="00F864D2"/>
    <w:rsid w:val="00FB1262"/>
    <w:rsid w:val="00FB4D10"/>
    <w:rsid w:val="00FC64B6"/>
    <w:rsid w:val="3A1D0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365</Words>
  <Characters>2085</Characters>
  <Lines>17</Lines>
  <Paragraphs>4</Paragraphs>
  <TotalTime>1302</TotalTime>
  <ScaleCrop>false</ScaleCrop>
  <LinksUpToDate>false</LinksUpToDate>
  <CharactersWithSpaces>2446</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2021-07-15T01:00:29Z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