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6"/>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6"/>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鑫盈利系列1年定开5号理财产品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2301202505(销售代码:2301202808/2301202809/2301202810/2301202811)</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10"/>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2,491,641,000.00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2301202808 : 3.45%-4.45%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2301202809 : 3.48%-4.48%</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2301202810 : 3.50%-4.50%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2301202811 : 3.50%-4.50%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报告期（2021-01-01至2021-03-31）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2301202808 : 180,784,081.57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6,220,739.84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23,084.54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2,379,571,125.33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2301202808 : 1.0296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1.0299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1.1542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2301202808 : 1.0296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1.0299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1.1542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6"/>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8,594,291.86</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2,567,258,802.75</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38,060,949.55</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2,613,914,044.16</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101.84%</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82"/>
        <w:rPr>
          <w:rFonts w:ascii="仿宋_GB2312" w:hAnsi="Calibri" w:eastAsia="仿宋_GB2312"/>
          <w:sz w:val="24"/>
          <w:szCs w:val="24"/>
        </w:rPr>
      </w:pPr>
      <w:r>
        <w:rPr>
          <w:rFonts w:hint="eastAsia" w:ascii="仿宋_GB2312" w:eastAsia="仿宋_GB2312" w:hAnsiTheme="minorEastAsia"/>
          <w:bCs/>
          <w:sz w:val="24"/>
          <w:szCs w:val="24"/>
        </w:rPr>
        <w:t>投资策略以配置中短久期的高等级信用债为主,适当杠杆增厚收益，相机配置长久期利率债挖掘超额收益。</w:t>
      </w:r>
    </w:p>
    <w:p>
      <w:pPr>
        <w:rPr>
          <w:rFonts w:ascii="仿宋_GB2312" w:hAnsi="Calibri" w:eastAsia="仿宋_GB2312"/>
          <w:sz w:val="24"/>
          <w:szCs w:val="24"/>
        </w:rPr>
      </w:pPr>
      <w:bookmarkStart w:id="0" w:name="_GoBack"/>
      <w:bookmarkEnd w:id="0"/>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6"/>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19苏州高技PPN001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233,258,473.32</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17乌城投PPN001</w:t>
            </w:r>
          </w:p>
        </w:tc>
        <w:tc>
          <w:tcPr>
            <w:tcW w:w="2835" w:type="dxa"/>
          </w:tcPr>
          <w:p>
            <w:pPr>
              <w:jc w:val="center"/>
              <w:textAlignment w:val="auto"/>
            </w:pPr>
            <w:r>
              <w:rPr>
                <w:rFonts w:ascii="Times New Roman" w:hAnsi="Times New Roman" w:eastAsia="Times New Roman" w:cs="Times New Roman"/>
                <w:b w:val="0"/>
                <w:i w:val="0"/>
                <w:color w:val="000000"/>
                <w:sz w:val="24"/>
                <w:u w:val="none"/>
              </w:rPr>
              <w:t>224,569,495.09</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20融和融资PPN001</w:t>
            </w:r>
          </w:p>
        </w:tc>
        <w:tc>
          <w:tcPr>
            <w:tcW w:w="2835" w:type="dxa"/>
          </w:tcPr>
          <w:p>
            <w:pPr>
              <w:jc w:val="center"/>
              <w:textAlignment w:val="auto"/>
            </w:pPr>
            <w:r>
              <w:rPr>
                <w:rFonts w:ascii="Times New Roman" w:hAnsi="Times New Roman" w:eastAsia="Times New Roman" w:cs="Times New Roman"/>
                <w:b w:val="0"/>
                <w:i w:val="0"/>
                <w:color w:val="000000"/>
                <w:sz w:val="24"/>
                <w:u w:val="none"/>
              </w:rPr>
              <w:t>180,515,474.72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20临安国控PPN001</w:t>
            </w:r>
          </w:p>
        </w:tc>
        <w:tc>
          <w:tcPr>
            <w:tcW w:w="2835" w:type="dxa"/>
          </w:tcPr>
          <w:p>
            <w:pPr>
              <w:jc w:val="center"/>
              <w:textAlignment w:val="auto"/>
            </w:pPr>
            <w:r>
              <w:rPr>
                <w:rFonts w:ascii="Times New Roman" w:hAnsi="Times New Roman" w:eastAsia="Times New Roman" w:cs="Times New Roman"/>
                <w:b w:val="0"/>
                <w:i w:val="0"/>
                <w:color w:val="000000"/>
                <w:sz w:val="24"/>
                <w:u w:val="none"/>
              </w:rPr>
              <w:t>176,785,553.04</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18宁波海城PPN002</w:t>
            </w:r>
          </w:p>
        </w:tc>
        <w:tc>
          <w:tcPr>
            <w:tcW w:w="2835" w:type="dxa"/>
          </w:tcPr>
          <w:p>
            <w:pPr>
              <w:jc w:val="center"/>
              <w:textAlignment w:val="auto"/>
            </w:pPr>
            <w:r>
              <w:rPr>
                <w:rFonts w:ascii="Times New Roman" w:hAnsi="Times New Roman" w:eastAsia="Times New Roman" w:cs="Times New Roman"/>
                <w:b w:val="0"/>
                <w:i w:val="0"/>
                <w:color w:val="000000"/>
                <w:sz w:val="24"/>
                <w:u w:val="none"/>
              </w:rPr>
              <w:t>151,643,027.10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18国开12</w:t>
            </w:r>
          </w:p>
        </w:tc>
        <w:tc>
          <w:tcPr>
            <w:tcW w:w="2835" w:type="dxa"/>
          </w:tcPr>
          <w:p>
            <w:pPr>
              <w:jc w:val="center"/>
              <w:textAlignment w:val="auto"/>
            </w:pPr>
            <w:r>
              <w:rPr>
                <w:rFonts w:ascii="Times New Roman" w:hAnsi="Times New Roman" w:eastAsia="Times New Roman" w:cs="Times New Roman"/>
                <w:b w:val="0"/>
                <w:i w:val="0"/>
                <w:color w:val="000000"/>
                <w:sz w:val="24"/>
                <w:u w:val="none"/>
              </w:rPr>
              <w:t>130,689,000.00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20江北新区PPN002</w:t>
            </w:r>
          </w:p>
        </w:tc>
        <w:tc>
          <w:tcPr>
            <w:tcW w:w="2835" w:type="dxa"/>
          </w:tcPr>
          <w:p>
            <w:pPr>
              <w:jc w:val="center"/>
              <w:textAlignment w:val="auto"/>
            </w:pPr>
            <w:r>
              <w:rPr>
                <w:rFonts w:ascii="Times New Roman" w:hAnsi="Times New Roman" w:eastAsia="Times New Roman" w:cs="Times New Roman"/>
                <w:b w:val="0"/>
                <w:i w:val="0"/>
                <w:color w:val="000000"/>
                <w:sz w:val="24"/>
                <w:u w:val="none"/>
              </w:rPr>
              <w:t>119,458,169.66</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20延安城投PPN001</w:t>
            </w:r>
          </w:p>
        </w:tc>
        <w:tc>
          <w:tcPr>
            <w:tcW w:w="2835" w:type="dxa"/>
          </w:tcPr>
          <w:p>
            <w:pPr>
              <w:jc w:val="center"/>
              <w:textAlignment w:val="auto"/>
            </w:pPr>
            <w:r>
              <w:rPr>
                <w:rFonts w:ascii="Times New Roman" w:hAnsi="Times New Roman" w:eastAsia="Times New Roman" w:cs="Times New Roman"/>
                <w:b w:val="0"/>
                <w:i w:val="0"/>
                <w:color w:val="000000"/>
                <w:sz w:val="24"/>
                <w:u w:val="none"/>
              </w:rPr>
              <w:t>117,223,191.64</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19江北新区PPN001</w:t>
            </w:r>
          </w:p>
        </w:tc>
        <w:tc>
          <w:tcPr>
            <w:tcW w:w="2835" w:type="dxa"/>
          </w:tcPr>
          <w:p>
            <w:pPr>
              <w:jc w:val="center"/>
              <w:textAlignment w:val="auto"/>
            </w:pPr>
            <w:r>
              <w:rPr>
                <w:rFonts w:ascii="Times New Roman" w:hAnsi="Times New Roman" w:eastAsia="Times New Roman" w:cs="Times New Roman"/>
                <w:b w:val="0"/>
                <w:i w:val="0"/>
                <w:color w:val="000000"/>
                <w:sz w:val="24"/>
                <w:u w:val="none"/>
              </w:rPr>
              <w:t>111,216,096.20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20国开15</w:t>
            </w:r>
          </w:p>
        </w:tc>
        <w:tc>
          <w:tcPr>
            <w:tcW w:w="2835" w:type="dxa"/>
          </w:tcPr>
          <w:p>
            <w:pPr>
              <w:jc w:val="center"/>
              <w:textAlignment w:val="auto"/>
            </w:pPr>
            <w:r>
              <w:rPr>
                <w:rFonts w:ascii="Times New Roman" w:hAnsi="Times New Roman" w:eastAsia="Times New Roman" w:cs="Times New Roman"/>
                <w:b w:val="0"/>
                <w:i w:val="0"/>
                <w:color w:val="000000"/>
                <w:sz w:val="24"/>
                <w:u w:val="none"/>
              </w:rPr>
              <w:t>100,640,000.00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3.92%</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10"/>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6"/>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9"/>
          <w:rFonts w:hint="eastAsia" w:ascii="仿宋_GB2312" w:eastAsia="仿宋_GB2312"/>
          <w:sz w:val="24"/>
          <w:szCs w:val="24"/>
        </w:rPr>
        <w:t>http://www.spdb.com.cn/</w:t>
      </w:r>
      <w:r>
        <w:rPr>
          <w:rStyle w:val="9"/>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10"/>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10"/>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601A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styleId="10">
    <w:name w:val="footnote reference"/>
    <w:semiHidden/>
    <w:qFormat/>
    <w:uiPriority w:val="99"/>
    <w:rPr>
      <w:vertAlign w:val="superscript"/>
    </w:rPr>
  </w:style>
  <w:style w:type="character" w:customStyle="1" w:styleId="11">
    <w:name w:val="页眉 Char"/>
    <w:basedOn w:val="8"/>
    <w:link w:val="3"/>
    <w:uiPriority w:val="99"/>
    <w:rPr>
      <w:sz w:val="18"/>
      <w:szCs w:val="18"/>
    </w:rPr>
  </w:style>
  <w:style w:type="character" w:customStyle="1" w:styleId="12">
    <w:name w:val="页脚 Char"/>
    <w:basedOn w:val="8"/>
    <w:link w:val="2"/>
    <w:uiPriority w:val="99"/>
    <w:rPr>
      <w:sz w:val="18"/>
      <w:szCs w:val="18"/>
    </w:rPr>
  </w:style>
  <w:style w:type="character" w:customStyle="1" w:styleId="13">
    <w:name w:val="脚注文本 Char"/>
    <w:basedOn w:val="8"/>
    <w:link w:val="4"/>
    <w:semiHidden/>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0</TotalTime>
  <ScaleCrop>false</ScaleCrop>
  <LinksUpToDate>false</LinksUpToDate>
  <CharactersWithSpaces>2670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Admin</cp:lastModifiedBy>
  <dcterms:modified xsi:type="dcterms:W3CDTF">2021-04-01T10:04:50Z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