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13"/>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13"/>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浦发银行鑫盈利系列1年定开4号理财产品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2301202504(销售代码:2301202801/2301202802/2301202803/2301202804)</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12"/>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96,363,428.46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2301202801 : 3.70%-4.20%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2301202802 : 3.73%-4.23%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2301202803 : 3.75%-4.25%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2301202804 : 3.85%-4.35%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8"/>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报告期（2021-01-01至2021-03-31）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2301202801 : 38,642,244.53</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2,515,202.64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8,834,111.18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50,305,538.20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2301202801 : 1.0405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1.0408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1.0410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1.0410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2301202801 : 1.0405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1.0408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1.0410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1.0410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13"/>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1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2,733,732.75</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97,167,090.44</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2,064,815.37</w:t>
            </w:r>
          </w:p>
        </w:tc>
        <w:tc>
          <w:tcPr>
            <w:tcW w:w="2477" w:type="dxa"/>
            <w:vAlign w:val="center"/>
          </w:tcPr>
          <w:p>
            <w:pPr>
              <w:jc w:val="center"/>
            </w:pPr>
            <w:r>
              <w:rPr>
                <w:rFonts w:eastAsia="Times New Roman"/>
                <w:color w:val="000000"/>
                <w:sz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101,965,638.56</w:t>
            </w:r>
          </w:p>
        </w:tc>
        <w:tc>
          <w:tcPr>
            <w:tcW w:w="2477" w:type="dxa"/>
            <w:vAlign w:val="center"/>
          </w:tcPr>
          <w:p>
            <w:pPr>
              <w:jc w:val="center"/>
            </w:pPr>
            <w:r>
              <w:rPr>
                <w:rFonts w:eastAsia="Times New Roman"/>
                <w:color w:val="000000"/>
                <w:sz w:val="24"/>
              </w:rPr>
              <w:t>101.66%</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82"/>
        <w:rPr>
          <w:rFonts w:ascii="仿宋_GB2312" w:hAnsi="Calibri" w:eastAsia="仿宋_GB2312"/>
          <w:sz w:val="24"/>
          <w:szCs w:val="24"/>
        </w:rPr>
      </w:pPr>
      <w:r>
        <w:rPr>
          <w:rFonts w:hint="eastAsia" w:ascii="仿宋_GB2312" w:eastAsia="仿宋_GB2312" w:hAnsiTheme="minorEastAsia"/>
          <w:bCs/>
          <w:sz w:val="24"/>
          <w:szCs w:val="24"/>
        </w:rPr>
        <w:t>投资策略以配置中短久期的高等级信用债为主,适当杠杆增厚收益，相机配置长久期利率债挖掘超额收益。</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13"/>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8"/>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19西青经开PPN001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8,141,009.70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19绿城房产MTN001</w:t>
            </w:r>
          </w:p>
        </w:tc>
        <w:tc>
          <w:tcPr>
            <w:tcW w:w="2835" w:type="dxa"/>
          </w:tcPr>
          <w:p>
            <w:pPr>
              <w:jc w:val="center"/>
              <w:textAlignment w:val="auto"/>
            </w:pPr>
            <w:r>
              <w:rPr>
                <w:rFonts w:ascii="Times New Roman" w:hAnsi="Times New Roman" w:eastAsia="Times New Roman" w:cs="Times New Roman"/>
                <w:b w:val="0"/>
                <w:i w:val="0"/>
                <w:color w:val="000000"/>
                <w:sz w:val="24"/>
                <w:u w:val="none"/>
              </w:rPr>
              <w:t>8,089,848.05</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19余杭经开PPN001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8,059,287.30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19余杭城开PPN001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8,028,962.47</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18托克集团PPN001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8,012,000.00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20攀钢集CP002</w:t>
            </w:r>
          </w:p>
        </w:tc>
        <w:tc>
          <w:tcPr>
            <w:tcW w:w="2835" w:type="dxa"/>
          </w:tcPr>
          <w:p>
            <w:pPr>
              <w:jc w:val="center"/>
              <w:textAlignment w:val="auto"/>
            </w:pPr>
            <w:r>
              <w:rPr>
                <w:rFonts w:ascii="Times New Roman" w:hAnsi="Times New Roman" w:eastAsia="Times New Roman" w:cs="Times New Roman"/>
                <w:b w:val="0"/>
                <w:i w:val="0"/>
                <w:color w:val="000000"/>
                <w:sz w:val="24"/>
                <w:u w:val="none"/>
              </w:rPr>
              <w:t>7,996,734.50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20西藏天路SCP002</w:t>
            </w:r>
          </w:p>
        </w:tc>
        <w:tc>
          <w:tcPr>
            <w:tcW w:w="2835" w:type="dxa"/>
          </w:tcPr>
          <w:p>
            <w:pPr>
              <w:jc w:val="center"/>
              <w:textAlignment w:val="auto"/>
            </w:pPr>
            <w:r>
              <w:rPr>
                <w:rFonts w:ascii="Times New Roman" w:hAnsi="Times New Roman" w:eastAsia="Times New Roman" w:cs="Times New Roman"/>
                <w:b w:val="0"/>
                <w:i w:val="0"/>
                <w:color w:val="000000"/>
                <w:sz w:val="24"/>
                <w:u w:val="none"/>
              </w:rPr>
              <w:t>7,995,200.00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20华润租赁(疫情防控债)PPN001</w:t>
            </w:r>
          </w:p>
        </w:tc>
        <w:tc>
          <w:tcPr>
            <w:tcW w:w="2835" w:type="dxa"/>
          </w:tcPr>
          <w:p>
            <w:pPr>
              <w:jc w:val="center"/>
              <w:textAlignment w:val="auto"/>
            </w:pPr>
            <w:r>
              <w:rPr>
                <w:rFonts w:ascii="Times New Roman" w:hAnsi="Times New Roman" w:eastAsia="Times New Roman" w:cs="Times New Roman"/>
                <w:b w:val="0"/>
                <w:i w:val="0"/>
                <w:color w:val="000000"/>
                <w:sz w:val="24"/>
                <w:u w:val="none"/>
              </w:rPr>
              <w:t>7,994,315.05</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20江北建设PPN001</w:t>
            </w:r>
          </w:p>
        </w:tc>
        <w:tc>
          <w:tcPr>
            <w:tcW w:w="2835" w:type="dxa"/>
          </w:tcPr>
          <w:p>
            <w:pPr>
              <w:jc w:val="center"/>
              <w:textAlignment w:val="auto"/>
            </w:pPr>
            <w:r>
              <w:rPr>
                <w:rFonts w:ascii="Times New Roman" w:hAnsi="Times New Roman" w:eastAsia="Times New Roman" w:cs="Times New Roman"/>
                <w:b w:val="0"/>
                <w:i w:val="0"/>
                <w:color w:val="000000"/>
                <w:sz w:val="24"/>
                <w:u w:val="none"/>
              </w:rPr>
              <w:t>7,980,000.00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20滁州城投PPN002</w:t>
            </w:r>
          </w:p>
        </w:tc>
        <w:tc>
          <w:tcPr>
            <w:tcW w:w="2835" w:type="dxa"/>
          </w:tcPr>
          <w:p>
            <w:pPr>
              <w:jc w:val="center"/>
              <w:textAlignment w:val="auto"/>
            </w:pPr>
            <w:r>
              <w:rPr>
                <w:rFonts w:ascii="Times New Roman" w:hAnsi="Times New Roman" w:eastAsia="Times New Roman" w:cs="Times New Roman"/>
                <w:b w:val="0"/>
                <w:i w:val="0"/>
                <w:color w:val="000000"/>
                <w:sz w:val="24"/>
                <w:u w:val="none"/>
              </w:rPr>
              <w:t>7,942,685.32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7.92%</w:t>
            </w:r>
          </w:p>
        </w:tc>
      </w:tr>
    </w:tbl>
    <w:p>
      <w:pPr>
        <w:rPr>
          <w:rFonts w:ascii="仿宋_GB2312" w:hAnsi="Calibri" w:eastAsia="仿宋_GB2312"/>
          <w:sz w:val="24"/>
          <w:szCs w:val="24"/>
        </w:rPr>
      </w:pPr>
      <w:bookmarkStart w:id="0" w:name="_GoBack"/>
      <w:bookmarkEnd w:id="0"/>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12"/>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13"/>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10"/>
          <w:rFonts w:hint="eastAsia" w:ascii="仿宋_GB2312" w:eastAsia="仿宋_GB2312"/>
          <w:sz w:val="24"/>
          <w:szCs w:val="24"/>
        </w:rPr>
        <w:t>http://www.spdb.com.cn/</w:t>
      </w:r>
      <w:r>
        <w:rPr>
          <w:rStyle w:val="10"/>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2"/>
        </w:rPr>
        <w:footnoteRef/>
      </w:r>
      <w:r>
        <w:rPr>
          <w:rFonts w:hint="eastAsia"/>
          <w:sz w:val="15"/>
          <w:szCs w:val="15"/>
        </w:rPr>
        <w:t>产品登记编码指本产品在全国银行理财信息登记系统获取的登记编码。</w:t>
      </w:r>
    </w:p>
  </w:footnote>
  <w:footnote w:id="1">
    <w:p>
      <w:pPr>
        <w:pStyle w:val="7"/>
        <w:rPr>
          <w:sz w:val="15"/>
          <w:szCs w:val="15"/>
        </w:rPr>
      </w:pPr>
      <w:r>
        <w:rPr>
          <w:rStyle w:val="12"/>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A20EA"/>
    <w:rsid w:val="007D042E"/>
    <w:rsid w:val="007D156D"/>
    <w:rsid w:val="007E2254"/>
    <w:rsid w:val="008579C9"/>
    <w:rsid w:val="008D4921"/>
    <w:rsid w:val="009027FB"/>
    <w:rsid w:val="0093653B"/>
    <w:rsid w:val="00973891"/>
    <w:rsid w:val="009B6B6E"/>
    <w:rsid w:val="009F0B98"/>
    <w:rsid w:val="00A7331C"/>
    <w:rsid w:val="00A768E1"/>
    <w:rsid w:val="00AA45EA"/>
    <w:rsid w:val="00B2798E"/>
    <w:rsid w:val="00B9403A"/>
    <w:rsid w:val="00BB17CD"/>
    <w:rsid w:val="00C2222B"/>
    <w:rsid w:val="00CA6A9F"/>
    <w:rsid w:val="00D170C5"/>
    <w:rsid w:val="00D24DF5"/>
    <w:rsid w:val="00D37F3B"/>
    <w:rsid w:val="00D601E1"/>
    <w:rsid w:val="00D709DD"/>
    <w:rsid w:val="00D82F30"/>
    <w:rsid w:val="00DC25F6"/>
    <w:rsid w:val="00DD0D5E"/>
    <w:rsid w:val="00DE1F30"/>
    <w:rsid w:val="00DE496A"/>
    <w:rsid w:val="00E24BDC"/>
    <w:rsid w:val="00E61C1A"/>
    <w:rsid w:val="00E63347"/>
    <w:rsid w:val="00F864D2"/>
    <w:rsid w:val="00FB1262"/>
    <w:rsid w:val="00FB4D10"/>
    <w:rsid w:val="00FC64B6"/>
    <w:rsid w:val="06406546"/>
    <w:rsid w:val="2991014F"/>
    <w:rsid w:val="4F3C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unhideWhenUsed/>
    <w:uiPriority w:val="99"/>
    <w:rPr>
      <w:b/>
      <w:bCs/>
    </w:rPr>
  </w:style>
  <w:style w:type="paragraph" w:styleId="3">
    <w:name w:val="annotation text"/>
    <w:basedOn w:val="1"/>
    <w:link w:val="20"/>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17"/>
    <w:semiHidden/>
    <w:qFormat/>
    <w:uiPriority w:val="99"/>
    <w:pPr>
      <w:snapToGrid w:val="0"/>
      <w:jc w:val="left"/>
    </w:pPr>
    <w:rPr>
      <w:rFonts w:eastAsia="宋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uiPriority w:val="99"/>
    <w:rPr>
      <w:sz w:val="21"/>
      <w:szCs w:val="21"/>
    </w:rPr>
  </w:style>
  <w:style w:type="character" w:styleId="12">
    <w:name w:val="footnote reference"/>
    <w:semiHidden/>
    <w:qFormat/>
    <w:uiPriority w:val="99"/>
    <w:rPr>
      <w:vertAlign w:val="superscript"/>
    </w:rPr>
  </w:style>
  <w:style w:type="table" w:styleId="14">
    <w:name w:val="Table Grid"/>
    <w:basedOn w:val="1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脚注文本 Char"/>
    <w:basedOn w:val="9"/>
    <w:link w:val="7"/>
    <w:semiHidden/>
    <w:qFormat/>
    <w:uiPriority w:val="99"/>
    <w:rPr>
      <w:rFonts w:ascii="Times New Roman" w:hAnsi="Times New Roman" w:eastAsia="宋体" w:cs="Times New Roman"/>
      <w:sz w:val="18"/>
      <w:szCs w:val="18"/>
    </w:rPr>
  </w:style>
  <w:style w:type="paragraph" w:customStyle="1" w:styleId="18">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character" w:customStyle="1" w:styleId="19">
    <w:name w:val="批注框文本 Char"/>
    <w:basedOn w:val="9"/>
    <w:link w:val="4"/>
    <w:semiHidden/>
    <w:uiPriority w:val="99"/>
    <w:rPr>
      <w:rFonts w:ascii="Times New Roman" w:hAnsi="Times New Roman" w:eastAsia="方正仿宋简体" w:cs="Times New Roman"/>
      <w:kern w:val="2"/>
      <w:sz w:val="18"/>
      <w:szCs w:val="18"/>
    </w:rPr>
  </w:style>
  <w:style w:type="character" w:customStyle="1" w:styleId="20">
    <w:name w:val="批注文字 Char"/>
    <w:basedOn w:val="9"/>
    <w:link w:val="3"/>
    <w:semiHidden/>
    <w:uiPriority w:val="99"/>
    <w:rPr>
      <w:rFonts w:ascii="Times New Roman" w:hAnsi="Times New Roman" w:eastAsia="方正仿宋简体" w:cs="Times New Roman"/>
      <w:kern w:val="2"/>
      <w:sz w:val="32"/>
    </w:rPr>
  </w:style>
  <w:style w:type="character" w:customStyle="1" w:styleId="21">
    <w:name w:val="批注主题 Char"/>
    <w:basedOn w:val="20"/>
    <w:link w:val="2"/>
    <w:semiHidden/>
    <w:uiPriority w:val="99"/>
    <w:rPr>
      <w:rFonts w:ascii="Times New Roman" w:hAnsi="Times New Roman" w:eastAsia="方正仿宋简体" w:cs="Times New Roman"/>
      <w:b/>
      <w:bCs/>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399</Words>
  <Characters>2276</Characters>
  <Lines>18</Lines>
  <Paragraphs>5</Paragraphs>
  <TotalTime>0</TotalTime>
  <ScaleCrop>false</ScaleCrop>
  <LinksUpToDate>false</LinksUpToDate>
  <CharactersWithSpaces>2670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2021-04-13T06:34:00Z</dcterms:created>
  <dc:creator>DEVVDI02</dc:creator>
  <cp:lastModifiedBy>user</cp:lastModifiedBy>
  <dcterms:modified xsi:type="dcterms:W3CDTF">2021-04-14T00:38:13Z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