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仿宋_GB2312" w:eastAsia="仿宋_GB2312"/>
          <w:b/>
          <w:bCs/>
          <w:sz w:val="24"/>
          <w:szCs w:val="24"/>
          <w:vertAlign w:val="superscript"/>
        </w:rPr>
      </w:pPr>
      <w:r>
        <w:rPr>
          <w:rFonts w:hint="eastAsia" w:ascii="仿宋_GB2312" w:eastAsia="仿宋_GB2312"/>
          <w:b/>
          <w:bCs/>
          <w:color w:val="000000"/>
          <w:sz w:val="24"/>
          <w:szCs w:val="24"/>
        </w:rPr>
        <w:t>公募理财产品定期</w:t>
      </w:r>
      <w:r>
        <w:rPr>
          <w:rFonts w:hint="eastAsia" w:ascii="仿宋_GB2312" w:eastAsia="仿宋_GB2312"/>
          <w:b/>
          <w:bCs/>
          <w:sz w:val="24"/>
          <w:szCs w:val="24"/>
        </w:rPr>
        <w:t>报告</w:t>
      </w:r>
    </w:p>
    <w:p>
      <w:pPr>
        <w:snapToGrid w:val="0"/>
        <w:spacing w:line="360" w:lineRule="auto"/>
        <w:rPr>
          <w:rFonts w:ascii="仿宋_GB2312" w:eastAsia="仿宋_GB2312"/>
          <w:b/>
          <w:bCs/>
          <w:sz w:val="24"/>
          <w:szCs w:val="24"/>
          <w:vertAlign w:val="superscript"/>
        </w:rPr>
      </w:pPr>
      <w:r>
        <w:rPr>
          <w:rFonts w:hint="eastAsia" w:ascii="仿宋_GB2312" w:eastAsia="仿宋_GB2312"/>
          <w:b/>
          <w:sz w:val="24"/>
          <w:szCs w:val="24"/>
        </w:rPr>
        <w:t>1</w:t>
      </w:r>
      <w:r>
        <w:rPr>
          <w:rFonts w:hint="eastAsia"/>
          <w:b/>
          <w:sz w:val="24"/>
          <w:szCs w:val="24"/>
        </w:rPr>
        <w:t> </w:t>
      </w:r>
      <w:r>
        <w:rPr>
          <w:rFonts w:hint="eastAsia" w:ascii="仿宋_GB2312" w:eastAsia="仿宋_GB2312"/>
          <w:b/>
          <w:sz w:val="24"/>
          <w:szCs w:val="24"/>
        </w:rPr>
        <w:t>.重要提示</w:t>
      </w:r>
    </w:p>
    <w:tbl>
      <w:tblPr>
        <w:tblStyle w:val="9"/>
        <w:tblW w:w="9072" w:type="dxa"/>
        <w:tblInd w:w="0" w:type="dxa"/>
        <w:tblBorders>
          <w:top w:val="single" w:color="auto" w:sz="4"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
      <w:tblGrid>
        <w:gridCol w:w="9072"/>
      </w:tblGrid>
      <w:tr>
        <w:tblPrEx>
          <w:tblBorders>
            <w:top w:val="single" w:color="auto" w:sz="4"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0" w:type="dxa"/>
            <w:bottom w:w="0" w:type="dxa"/>
            <w:right w:w="0" w:type="dxa"/>
          </w:tblCellMar>
        </w:tblPrEx>
        <w:trPr>
          <w:trHeight w:val="2514" w:hRule="atLeast"/>
        </w:trPr>
        <w:tc>
          <w:tcPr>
            <w:tcW w:w="9072" w:type="dxa"/>
            <w:tcMar>
              <w:top w:w="0" w:type="dxa"/>
              <w:left w:w="108" w:type="dxa"/>
              <w:bottom w:w="0" w:type="dxa"/>
              <w:right w:w="108" w:type="dxa"/>
            </w:tcMar>
          </w:tcPr>
          <w:p>
            <w:pPr>
              <w:snapToGrid w:val="0"/>
              <w:spacing w:line="360" w:lineRule="auto"/>
              <w:ind w:firstLine="360"/>
              <w:jc w:val="left"/>
              <w:rPr>
                <w:rFonts w:ascii="仿宋_GB2312" w:hAnsi="Calibri" w:eastAsia="仿宋_GB2312" w:cs="宋体"/>
                <w:color w:val="404040"/>
                <w:sz w:val="24"/>
                <w:szCs w:val="24"/>
              </w:rPr>
            </w:pPr>
            <w:r>
              <w:rPr>
                <w:rFonts w:hint="eastAsia" w:ascii="仿宋_GB2312" w:eastAsia="仿宋_GB2312"/>
                <w:color w:val="404040"/>
                <w:sz w:val="24"/>
                <w:szCs w:val="24"/>
              </w:rPr>
              <w:t>产品管理人保证本报告所载资料不存在虚假记载、误导性陈述或重大遗漏，并对其内容的真实性、准确性和完整性负责。</w:t>
            </w:r>
          </w:p>
          <w:p>
            <w:pPr>
              <w:snapToGrid w:val="0"/>
              <w:spacing w:line="360" w:lineRule="auto"/>
              <w:ind w:firstLine="360"/>
              <w:jc w:val="left"/>
              <w:rPr>
                <w:rFonts w:ascii="仿宋_GB2312" w:eastAsia="仿宋_GB2312"/>
                <w:color w:val="404040"/>
                <w:sz w:val="24"/>
                <w:szCs w:val="24"/>
              </w:rPr>
            </w:pPr>
            <w:r>
              <w:rPr>
                <w:rFonts w:hint="eastAsia" w:ascii="仿宋_GB2312" w:eastAsia="仿宋_GB2312"/>
                <w:color w:val="404040"/>
                <w:sz w:val="24"/>
                <w:szCs w:val="24"/>
              </w:rPr>
              <w:t>产品托管人上海浦东发展银行根据本产品合同规定，复核了本报告中的财务指标、净值表现、投资组合报告等内容，保证复核内容不存在虚假记载、误导性陈述或者重大遗漏。　</w:t>
            </w:r>
          </w:p>
          <w:p>
            <w:pPr>
              <w:snapToGrid w:val="0"/>
              <w:spacing w:line="360" w:lineRule="auto"/>
              <w:ind w:firstLine="360"/>
              <w:jc w:val="left"/>
              <w:rPr>
                <w:rFonts w:ascii="仿宋_GB2312" w:eastAsia="仿宋_GB2312"/>
                <w:color w:val="404040"/>
                <w:sz w:val="24"/>
                <w:szCs w:val="24"/>
              </w:rPr>
            </w:pPr>
            <w:r>
              <w:rPr>
                <w:rFonts w:hint="eastAsia" w:ascii="仿宋_GB2312" w:eastAsia="仿宋_GB2312"/>
                <w:color w:val="404040"/>
                <w:sz w:val="24"/>
                <w:szCs w:val="24"/>
              </w:rPr>
              <w:t>产品管理人承诺以诚实信用、勤勉尽责的原则管理和运用产品资产，但不保证产品一定盈利。　　</w:t>
            </w:r>
          </w:p>
          <w:p>
            <w:pPr>
              <w:snapToGrid w:val="0"/>
              <w:spacing w:line="360" w:lineRule="auto"/>
              <w:ind w:firstLine="360"/>
              <w:jc w:val="left"/>
              <w:rPr>
                <w:rFonts w:ascii="仿宋_GB2312" w:eastAsia="仿宋_GB2312"/>
                <w:color w:val="404040"/>
                <w:sz w:val="24"/>
                <w:szCs w:val="24"/>
              </w:rPr>
            </w:pPr>
            <w:r>
              <w:rPr>
                <w:rFonts w:hint="eastAsia" w:ascii="仿宋_GB2312" w:eastAsia="仿宋_GB2312"/>
                <w:color w:val="404040"/>
                <w:sz w:val="24"/>
                <w:szCs w:val="24"/>
              </w:rPr>
              <w:t>产品的过往业绩并不代表其未来表现。投资有风险，投资者在做出投资决策前应仔细阅读本产品的销售文件。</w:t>
            </w:r>
          </w:p>
          <w:p>
            <w:pPr>
              <w:snapToGrid w:val="0"/>
              <w:spacing w:line="360" w:lineRule="auto"/>
              <w:ind w:firstLine="360"/>
              <w:jc w:val="left"/>
              <w:rPr>
                <w:rFonts w:ascii="仿宋_GB2312" w:hAnsi="Calibri" w:eastAsia="仿宋_GB2312" w:cs="宋体"/>
                <w:color w:val="404040"/>
                <w:sz w:val="24"/>
                <w:szCs w:val="24"/>
              </w:rPr>
            </w:pPr>
            <w:r>
              <w:rPr>
                <w:rFonts w:hint="eastAsia" w:ascii="仿宋_GB2312" w:eastAsia="仿宋_GB2312"/>
                <w:color w:val="404040"/>
                <w:sz w:val="24"/>
                <w:szCs w:val="24"/>
              </w:rPr>
              <w:t>本报告中财务资料未经审计。</w:t>
            </w:r>
          </w:p>
        </w:tc>
      </w:tr>
    </w:tbl>
    <w:p>
      <w:pPr>
        <w:snapToGrid w:val="0"/>
        <w:spacing w:line="360" w:lineRule="auto"/>
        <w:rPr>
          <w:rFonts w:ascii="仿宋_GB2312" w:eastAsia="仿宋_GB2312"/>
          <w:b/>
          <w:sz w:val="24"/>
          <w:szCs w:val="24"/>
        </w:rPr>
      </w:pPr>
      <w:r>
        <w:rPr>
          <w:rFonts w:hint="eastAsia" w:ascii="仿宋_GB2312" w:eastAsia="仿宋_GB2312"/>
          <w:b/>
          <w:sz w:val="24"/>
          <w:szCs w:val="24"/>
        </w:rPr>
        <w:t>2. 产品概况</w:t>
      </w:r>
    </w:p>
    <w:tbl>
      <w:tblPr>
        <w:tblStyle w:val="9"/>
        <w:tblW w:w="9072" w:type="dxa"/>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19"/>
        <w:gridCol w:w="4853"/>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snapToGrid w:val="0"/>
              <w:spacing w:line="360" w:lineRule="auto"/>
              <w:ind w:firstLine="480"/>
              <w:jc w:val="center"/>
              <w:rPr>
                <w:rFonts w:ascii="仿宋_GB2312" w:hAnsi="Calibri" w:eastAsia="仿宋_GB2312" w:cs="宋体"/>
                <w:color w:val="FF0000"/>
                <w:sz w:val="24"/>
                <w:szCs w:val="24"/>
              </w:rPr>
            </w:pPr>
            <w:r>
              <w:rPr>
                <w:rFonts w:hint="eastAsia" w:ascii="仿宋_GB2312" w:eastAsia="仿宋_GB2312" w:hAnsiTheme="minorEastAsia"/>
                <w:kern w:val="0"/>
                <w:sz w:val="24"/>
                <w:szCs w:val="24"/>
              </w:rPr>
              <w:t>产品名称</w:t>
            </w:r>
          </w:p>
        </w:tc>
        <w:tc>
          <w:tcPr>
            <w:tcW w:w="4853" w:type="dxa"/>
            <w:tcMar>
              <w:top w:w="0" w:type="dxa"/>
              <w:left w:w="108" w:type="dxa"/>
              <w:bottom w:w="0" w:type="dxa"/>
              <w:right w:w="108" w:type="dxa"/>
            </w:tcMar>
            <w:vAlign w:val="center"/>
          </w:tcPr>
          <w:p>
            <w:pPr>
              <w:snapToGrid w:val="0"/>
              <w:spacing w:line="360" w:lineRule="auto"/>
              <w:jc w:val="center"/>
              <w:rPr>
                <w:rFonts w:ascii="仿宋_GB2312" w:hAnsi="Calibri" w:eastAsia="仿宋_GB2312" w:cs="宋体"/>
                <w:color w:val="000000"/>
                <w:sz w:val="24"/>
                <w:szCs w:val="24"/>
              </w:rPr>
            </w:pPr>
            <w:r>
              <w:rPr>
                <w:rFonts w:ascii="仿宋_GB2312" w:hAnsi="Calibri" w:eastAsia="仿宋_GB2312" w:cs="宋体"/>
                <w:color w:val="000000"/>
                <w:sz w:val="24"/>
                <w:szCs w:val="24"/>
              </w:rPr>
              <w:t>浦发银行鑫盈利系列1年定开12号理财产品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产品代码</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hAnsiTheme="minorEastAsia"/>
                <w:color w:val="000000"/>
                <w:kern w:val="0"/>
                <w:sz w:val="24"/>
                <w:szCs w:val="24"/>
              </w:rPr>
            </w:pPr>
            <w:r>
              <w:rPr>
                <w:rFonts w:ascii="仿宋_GB2312" w:hAnsi="Calibri" w:eastAsia="仿宋_GB2312" w:cs="宋体"/>
                <w:color w:val="000000"/>
                <w:sz w:val="24"/>
                <w:szCs w:val="24"/>
              </w:rPr>
              <w:t>2301192534</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产品登记编码</w:t>
            </w:r>
            <w:r>
              <w:rPr>
                <w:rStyle w:val="8"/>
                <w:rFonts w:ascii="仿宋_GB2312" w:eastAsia="仿宋_GB2312" w:hAnsiTheme="minorEastAsia"/>
                <w:kern w:val="0"/>
                <w:sz w:val="24"/>
                <w:szCs w:val="24"/>
              </w:rPr>
              <w:footnoteReference w:id="0"/>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C1031019000549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产品类型</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产品成立日</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2020-02-26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报告期末产品份额总额</w:t>
            </w:r>
          </w:p>
        </w:tc>
        <w:tc>
          <w:tcPr>
            <w:tcW w:w="4853" w:type="dxa"/>
            <w:tcMar>
              <w:top w:w="0" w:type="dxa"/>
              <w:left w:w="108" w:type="dxa"/>
              <w:bottom w:w="0" w:type="dxa"/>
              <w:right w:w="108" w:type="dxa"/>
            </w:tcMar>
            <w:vAlign w:val="center"/>
          </w:tcPr>
          <w:p>
            <w:pPr>
              <w:adjustRightInd w:val="0"/>
              <w:snapToGrid w:val="0"/>
              <w:spacing w:line="360" w:lineRule="auto"/>
              <w:ind w:firstLine="420"/>
              <w:jc w:val="center"/>
              <w:rPr>
                <w:rFonts w:ascii="仿宋_GB2312" w:eastAsia="仿宋_GB2312" w:cs="宋体" w:hAnsiTheme="minorEastAsia"/>
                <w:color w:val="000000"/>
                <w:sz w:val="24"/>
                <w:szCs w:val="24"/>
              </w:rPr>
            </w:pPr>
            <w:r>
              <w:rPr>
                <w:rFonts w:ascii="仿宋_GB2312" w:eastAsia="仿宋_GB2312" w:cs="宋体" w:hAnsiTheme="minorEastAsia"/>
                <w:color w:val="000000"/>
                <w:sz w:val="24"/>
                <w:szCs w:val="24"/>
              </w:rPr>
              <w:t>1,688,988,993.62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hAnsiTheme="minorEastAsia"/>
                <w:kern w:val="0"/>
                <w:sz w:val="24"/>
                <w:szCs w:val="24"/>
              </w:rPr>
            </w:pPr>
            <w:r>
              <w:rPr>
                <w:rFonts w:hint="eastAsia" w:ascii="仿宋_GB2312" w:eastAsia="仿宋_GB2312" w:hAnsiTheme="minorEastAsia"/>
                <w:kern w:val="0"/>
                <w:sz w:val="24"/>
                <w:szCs w:val="24"/>
              </w:rPr>
              <w:t>报告期末产品杠杆水平</w:t>
            </w:r>
          </w:p>
        </w:tc>
        <w:tc>
          <w:tcPr>
            <w:tcW w:w="4853" w:type="dxa"/>
            <w:tcMar>
              <w:top w:w="0" w:type="dxa"/>
              <w:left w:w="108" w:type="dxa"/>
              <w:bottom w:w="0" w:type="dxa"/>
              <w:right w:w="108" w:type="dxa"/>
            </w:tcMar>
            <w:vAlign w:val="center"/>
          </w:tcPr>
          <w:p>
            <w:pPr>
              <w:adjustRightInd w:val="0"/>
              <w:snapToGrid w:val="0"/>
              <w:spacing w:line="360" w:lineRule="auto"/>
              <w:ind w:firstLine="420"/>
              <w:jc w:val="center"/>
              <w:rPr>
                <w:rFonts w:ascii="仿宋_GB2312" w:eastAsia="仿宋_GB2312" w:cs="宋体" w:hAnsiTheme="minorEastAsia"/>
                <w:color w:val="000000"/>
                <w:sz w:val="24"/>
                <w:szCs w:val="24"/>
              </w:rPr>
            </w:pPr>
            <w:r>
              <w:rPr>
                <w:rFonts w:ascii="仿宋_GB2312" w:eastAsia="仿宋_GB2312" w:cs="宋体" w:hAnsiTheme="minorEastAsia"/>
                <w:color w:val="000000"/>
                <w:sz w:val="24"/>
                <w:szCs w:val="24"/>
              </w:rPr>
              <w:t>107.32%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业绩比较基准</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2301192534 : 3.90%</w:t>
            </w:r>
            <w:r>
              <w:rPr>
                <w:rFonts w:hint="eastAsia" w:ascii="仿宋_GB2312" w:hAnsi="Calibri" w:eastAsia="仿宋_GB2312" w:cs="宋体"/>
                <w:color w:val="000000"/>
                <w:sz w:val="24"/>
                <w:szCs w:val="24"/>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sz w:val="24"/>
                <w:szCs w:val="24"/>
              </w:rPr>
            </w:pPr>
            <w:r>
              <w:rPr>
                <w:rFonts w:hint="eastAsia" w:ascii="仿宋_GB2312" w:eastAsia="仿宋_GB2312" w:hAnsiTheme="minorEastAsia"/>
                <w:kern w:val="0"/>
                <w:sz w:val="24"/>
                <w:szCs w:val="24"/>
              </w:rPr>
              <w:t>风险等级</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ascii="仿宋_GB2312" w:hAnsi="Calibri" w:eastAsia="仿宋_GB2312" w:cs="宋体"/>
                <w:color w:val="000000"/>
                <w:sz w:val="24"/>
                <w:szCs w:val="24"/>
              </w:rPr>
              <w:t>较低风险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产品管理人</w:t>
            </w:r>
          </w:p>
        </w:tc>
        <w:tc>
          <w:tcPr>
            <w:tcW w:w="4853" w:type="dxa"/>
            <w:tcMar>
              <w:top w:w="0" w:type="dxa"/>
              <w:left w:w="108" w:type="dxa"/>
              <w:bottom w:w="0" w:type="dxa"/>
              <w:right w:w="108" w:type="dxa"/>
            </w:tcMar>
            <w:vAlign w:val="center"/>
          </w:tcPr>
          <w:p>
            <w:pPr>
              <w:adjustRightInd w:val="0"/>
              <w:snapToGrid w:val="0"/>
              <w:spacing w:line="360" w:lineRule="auto"/>
              <w:ind w:firstLine="240" w:firstLineChars="100"/>
              <w:jc w:val="center"/>
              <w:rPr>
                <w:rFonts w:ascii="仿宋_GB2312" w:eastAsia="仿宋_GB2312" w:cs="宋体" w:hAnsiTheme="minorEastAsia"/>
                <w:color w:val="000000"/>
                <w:sz w:val="24"/>
                <w:szCs w:val="24"/>
              </w:rPr>
            </w:pPr>
            <w:r>
              <w:rPr>
                <w:rFonts w:hint="eastAsia" w:ascii="仿宋_GB2312" w:eastAsia="仿宋_GB2312" w:cs="宋体" w:hAnsiTheme="minorEastAsia"/>
                <w:color w:val="000000"/>
                <w:sz w:val="24"/>
                <w:szCs w:val="24"/>
              </w:rPr>
              <w:t>上海浦东发展银行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4219" w:type="dxa"/>
            <w:tcMar>
              <w:top w:w="0" w:type="dxa"/>
              <w:left w:w="108" w:type="dxa"/>
              <w:bottom w:w="0" w:type="dxa"/>
              <w:right w:w="108" w:type="dxa"/>
            </w:tcMar>
            <w:vAlign w:val="center"/>
          </w:tcPr>
          <w:p>
            <w:pPr>
              <w:adjustRightInd w:val="0"/>
              <w:snapToGrid w:val="0"/>
              <w:spacing w:line="360" w:lineRule="auto"/>
              <w:ind w:firstLine="480"/>
              <w:jc w:val="center"/>
              <w:rPr>
                <w:rFonts w:ascii="仿宋_GB2312" w:eastAsia="仿宋_GB2312" w:cs="宋体"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产品托管人</w:t>
            </w:r>
          </w:p>
        </w:tc>
        <w:tc>
          <w:tcPr>
            <w:tcW w:w="4853" w:type="dxa"/>
            <w:tcMar>
              <w:top w:w="0" w:type="dxa"/>
              <w:left w:w="108" w:type="dxa"/>
              <w:bottom w:w="0" w:type="dxa"/>
              <w:right w:w="108" w:type="dxa"/>
            </w:tcMar>
            <w:vAlign w:val="center"/>
          </w:tcPr>
          <w:p>
            <w:pPr>
              <w:adjustRightInd w:val="0"/>
              <w:snapToGrid w:val="0"/>
              <w:spacing w:line="360" w:lineRule="auto"/>
              <w:jc w:val="center"/>
              <w:rPr>
                <w:rFonts w:ascii="仿宋_GB2312" w:eastAsia="仿宋_GB2312" w:cs="宋体" w:hAnsiTheme="minorEastAsia"/>
                <w:color w:val="000000"/>
                <w:sz w:val="24"/>
                <w:szCs w:val="24"/>
              </w:rPr>
            </w:pPr>
            <w:r>
              <w:rPr>
                <w:rFonts w:hint="eastAsia" w:ascii="仿宋_GB2312" w:eastAsia="仿宋_GB2312" w:cs="宋体" w:hAnsiTheme="minorEastAsia"/>
                <w:color w:val="000000"/>
                <w:sz w:val="24"/>
                <w:szCs w:val="24"/>
              </w:rPr>
              <w:t xml:space="preserve">  上海浦东发展银行</w:t>
            </w:r>
          </w:p>
        </w:tc>
      </w:tr>
    </w:tbl>
    <w:p>
      <w:pPr>
        <w:rPr>
          <w:rFonts w:ascii="仿宋_GB2312" w:hAnsi="Calibri" w:eastAsia="仿宋_GB2312"/>
          <w:sz w:val="24"/>
          <w:szCs w:val="24"/>
        </w:rPr>
      </w:pPr>
    </w:p>
    <w:p>
      <w:pPr>
        <w:snapToGrid w:val="0"/>
        <w:spacing w:line="360" w:lineRule="auto"/>
        <w:rPr>
          <w:rFonts w:ascii="仿宋_GB2312" w:eastAsia="仿宋_GB2312"/>
          <w:b/>
          <w:sz w:val="24"/>
          <w:szCs w:val="24"/>
        </w:rPr>
      </w:pPr>
      <w:r>
        <w:rPr>
          <w:rFonts w:hint="eastAsia" w:ascii="仿宋_GB2312" w:eastAsia="仿宋_GB2312"/>
          <w:b/>
          <w:sz w:val="24"/>
          <w:szCs w:val="24"/>
        </w:rPr>
        <w:t>3</w:t>
      </w:r>
      <w:r>
        <w:rPr>
          <w:rFonts w:ascii="仿宋_GB2312" w:eastAsia="仿宋_GB2312"/>
          <w:b/>
          <w:sz w:val="24"/>
          <w:szCs w:val="24"/>
        </w:rPr>
        <w:t>.</w:t>
      </w:r>
      <w:r>
        <w:rPr>
          <w:rFonts w:hint="eastAsia" w:ascii="仿宋_GB2312" w:eastAsia="仿宋_GB2312"/>
          <w:b/>
          <w:sz w:val="24"/>
          <w:szCs w:val="24"/>
        </w:rPr>
        <w:t>产品净值表现</w:t>
      </w:r>
    </w:p>
    <w:p>
      <w:pPr>
        <w:snapToGrid w:val="0"/>
        <w:spacing w:line="360" w:lineRule="auto"/>
        <w:ind w:firstLine="482"/>
        <w:rPr>
          <w:rFonts w:ascii="仿宋_GB2312" w:eastAsia="仿宋_GB2312"/>
          <w:b/>
          <w:bCs/>
          <w:sz w:val="24"/>
          <w:szCs w:val="24"/>
        </w:rPr>
      </w:pPr>
      <w:r>
        <w:rPr>
          <w:rFonts w:hint="eastAsia" w:ascii="仿宋_GB2312" w:eastAsia="仿宋_GB2312"/>
          <w:b/>
          <w:bCs/>
          <w:sz w:val="24"/>
          <w:szCs w:val="24"/>
        </w:rPr>
        <w:t>3.1 净值表现</w:t>
      </w:r>
    </w:p>
    <w:p>
      <w:pPr>
        <w:snapToGrid w:val="0"/>
        <w:spacing w:line="360" w:lineRule="auto"/>
        <w:ind w:left="5143" w:hanging="5143"/>
        <w:rPr>
          <w:rFonts w:ascii="仿宋_GB2312" w:eastAsia="仿宋_GB2312"/>
          <w:sz w:val="24"/>
          <w:szCs w:val="24"/>
        </w:rPr>
      </w:pPr>
      <w:r>
        <w:rPr>
          <w:sz w:val="24"/>
          <w:szCs w:val="24"/>
        </w:rPr>
        <w:t>                                                                               单位：人民币(CNY)</w:t>
      </w:r>
    </w:p>
    <w:tbl>
      <w:tblPr>
        <w:tblStyle w:val="10"/>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4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pStyle w:val="5"/>
              <w:snapToGrid w:val="0"/>
              <w:spacing w:before="0" w:beforeAutospacing="0" w:after="0" w:afterAutospacing="0" w:line="360" w:lineRule="auto"/>
              <w:ind w:firstLine="480" w:firstLineChars="200"/>
              <w:jc w:val="center"/>
              <w:rPr>
                <w:rFonts w:ascii="仿宋_GB2312" w:eastAsia="仿宋_GB2312"/>
                <w:kern w:val="2"/>
              </w:rPr>
            </w:pPr>
            <w:r>
              <w:rPr>
                <w:rFonts w:hint="eastAsia" w:ascii="仿宋_GB2312" w:eastAsia="仿宋_GB2312"/>
                <w:kern w:val="2"/>
              </w:rPr>
              <w:t>产品净值表现</w:t>
            </w:r>
          </w:p>
        </w:tc>
        <w:tc>
          <w:tcPr>
            <w:tcW w:w="4711" w:type="dxa"/>
          </w:tcPr>
          <w:p>
            <w:pPr>
              <w:snapToGrid w:val="0"/>
              <w:spacing w:line="360" w:lineRule="auto"/>
              <w:ind w:firstLine="480" w:firstLineChars="200"/>
              <w:jc w:val="center"/>
              <w:rPr>
                <w:rFonts w:ascii="仿宋_GB2312" w:hAnsi="Calibri" w:eastAsia="仿宋_GB2312" w:cs="宋体"/>
                <w:color w:val="000000"/>
                <w:kern w:val="0"/>
                <w:sz w:val="24"/>
                <w:szCs w:val="24"/>
              </w:rPr>
            </w:pPr>
            <w:r>
              <w:rPr>
                <w:rFonts w:hint="eastAsia" w:ascii="仿宋_GB2312" w:eastAsia="仿宋_GB2312"/>
                <w:color w:val="000000"/>
                <w:kern w:val="0"/>
                <w:sz w:val="24"/>
                <w:szCs w:val="24"/>
              </w:rPr>
              <w:t>报告期（2021-01-01至2021-03-31）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1" w:type="dxa"/>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1.期末产品资产净值</w:t>
            </w:r>
          </w:p>
        </w:tc>
        <w:tc>
          <w:tcPr>
            <w:tcW w:w="4711" w:type="dxa"/>
          </w:tcPr>
          <w:p>
            <w:pPr>
              <w:snapToGrid w:val="0"/>
              <w:spacing w:line="360" w:lineRule="auto"/>
              <w:jc w:val="left"/>
              <w:rPr>
                <w:rFonts w:ascii="仿宋_GB2312" w:hAnsi="Calibri" w:eastAsia="仿宋_GB2312" w:cs="宋体"/>
                <w:color w:val="000000"/>
                <w:kern w:val="0"/>
                <w:sz w:val="24"/>
                <w:szCs w:val="24"/>
              </w:rPr>
            </w:pPr>
            <w:r>
              <w:rPr>
                <w:rFonts w:ascii="仿宋_GB2312" w:hAnsi="Calibri" w:eastAsia="仿宋_GB2312" w:cs="宋体"/>
                <w:color w:val="000000"/>
                <w:kern w:val="0"/>
                <w:sz w:val="24"/>
                <w:szCs w:val="24"/>
              </w:rPr>
              <w:t>2301192534 : 1,755,846,429.66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4361" w:type="dxa"/>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2.期末产品份额净值</w:t>
            </w:r>
          </w:p>
        </w:tc>
        <w:tc>
          <w:tcPr>
            <w:tcW w:w="4711" w:type="dxa"/>
          </w:tcPr>
          <w:p>
            <w:pPr>
              <w:adjustRightInd w:val="0"/>
              <w:snapToGrid w:val="0"/>
              <w:spacing w:line="360" w:lineRule="auto"/>
              <w:jc w:val="left"/>
              <w:rPr>
                <w:rFonts w:ascii="仿宋_GB2312" w:eastAsia="仿宋_GB2312" w:hAnsiTheme="minorEastAsia"/>
                <w:color w:val="000000"/>
                <w:kern w:val="0"/>
                <w:sz w:val="24"/>
                <w:szCs w:val="24"/>
              </w:rPr>
            </w:pPr>
            <w:r>
              <w:rPr>
                <w:rFonts w:ascii="仿宋_GB2312" w:hAnsi="Calibri" w:eastAsia="仿宋_GB2312" w:cs="宋体"/>
                <w:color w:val="000000"/>
                <w:kern w:val="0"/>
                <w:sz w:val="24"/>
                <w:szCs w:val="24"/>
              </w:rPr>
              <w:t>2301192534 : 1.0396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4361" w:type="dxa"/>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3.期末产品份额累计净值</w:t>
            </w:r>
          </w:p>
        </w:tc>
        <w:tc>
          <w:tcPr>
            <w:tcW w:w="4711" w:type="dxa"/>
          </w:tcPr>
          <w:p>
            <w:pPr>
              <w:adjustRightInd w:val="0"/>
              <w:snapToGrid w:val="0"/>
              <w:spacing w:line="360" w:lineRule="auto"/>
              <w:jc w:val="left"/>
              <w:rPr>
                <w:rFonts w:ascii="仿宋_GB2312" w:eastAsia="仿宋_GB2312" w:hAnsiTheme="minorEastAsia"/>
                <w:color w:val="000000"/>
                <w:kern w:val="0"/>
                <w:sz w:val="24"/>
                <w:szCs w:val="24"/>
              </w:rPr>
            </w:pPr>
            <w:r>
              <w:rPr>
                <w:rFonts w:ascii="仿宋_GB2312" w:hAnsi="Calibri" w:eastAsia="仿宋_GB2312" w:cs="宋体"/>
                <w:color w:val="000000"/>
                <w:kern w:val="0"/>
                <w:sz w:val="24"/>
                <w:szCs w:val="24"/>
              </w:rPr>
              <w:t>2301192534 : 1.0396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4361" w:type="dxa"/>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4</w:t>
            </w:r>
            <w:r>
              <w:rPr>
                <w:rFonts w:ascii="仿宋_GB2312" w:eastAsia="仿宋_GB2312"/>
                <w:kern w:val="2"/>
              </w:rPr>
              <w:t>.</w:t>
            </w:r>
            <w:r>
              <w:rPr>
                <w:rFonts w:hint="eastAsia" w:ascii="仿宋_GB2312" w:eastAsia="仿宋_GB2312"/>
                <w:kern w:val="2"/>
              </w:rPr>
              <w:t>每万份收益</w:t>
            </w:r>
          </w:p>
        </w:tc>
        <w:tc>
          <w:tcPr>
            <w:tcW w:w="4711" w:type="dxa"/>
          </w:tcPr>
          <w:p>
            <w:pPr>
              <w:snapToGrid w:val="0"/>
              <w:spacing w:line="360" w:lineRule="auto"/>
              <w:jc w:val="left"/>
              <w:rPr>
                <w:rFonts w:ascii="仿宋_GB2312" w:eastAsia="仿宋_GB2312"/>
                <w:color w:val="000000"/>
                <w:kern w:val="0"/>
                <w:sz w:val="24"/>
                <w:szCs w:val="24"/>
              </w:rPr>
            </w:pPr>
            <w:r>
              <w:rPr>
                <w:rFonts w:ascii="仿宋_GB2312" w:hAnsi="Calibri" w:eastAsia="仿宋_GB2312" w:cs="宋体"/>
                <w:color w:val="000000"/>
                <w:kern w:val="0"/>
                <w:sz w:val="24"/>
                <w:szCs w:val="24"/>
              </w:rPr>
              <w:t>-</w:t>
            </w:r>
          </w:p>
        </w:tc>
      </w:tr>
    </w:tbl>
    <w:tbl>
      <w:tblPr>
        <w:tblStyle w:val="9"/>
        <w:tblW w:w="9072" w:type="dxa"/>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61"/>
        <w:gridCol w:w="4711"/>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8" w:hRule="atLeast"/>
        </w:trPr>
        <w:tc>
          <w:tcPr>
            <w:tcW w:w="4361" w:type="dxa"/>
            <w:tcMar>
              <w:top w:w="0" w:type="dxa"/>
              <w:left w:w="108" w:type="dxa"/>
              <w:bottom w:w="0" w:type="dxa"/>
              <w:right w:w="108" w:type="dxa"/>
            </w:tcMar>
          </w:tcPr>
          <w:p>
            <w:pPr>
              <w:pStyle w:val="5"/>
              <w:snapToGrid w:val="0"/>
              <w:spacing w:before="0" w:beforeAutospacing="0" w:after="0" w:afterAutospacing="0" w:line="360" w:lineRule="auto"/>
              <w:ind w:firstLine="480" w:firstLineChars="200"/>
              <w:rPr>
                <w:rFonts w:ascii="仿宋_GB2312" w:eastAsia="仿宋_GB2312"/>
                <w:kern w:val="2"/>
              </w:rPr>
            </w:pPr>
            <w:r>
              <w:rPr>
                <w:rFonts w:hint="eastAsia" w:ascii="仿宋_GB2312" w:eastAsia="仿宋_GB2312"/>
                <w:kern w:val="2"/>
              </w:rPr>
              <w:t>5</w:t>
            </w:r>
            <w:r>
              <w:rPr>
                <w:rFonts w:ascii="仿宋_GB2312" w:eastAsia="仿宋_GB2312"/>
                <w:kern w:val="2"/>
              </w:rPr>
              <w:t>.</w:t>
            </w:r>
            <w:r>
              <w:rPr>
                <w:rFonts w:hint="eastAsia" w:ascii="仿宋_GB2312" w:eastAsia="仿宋_GB2312"/>
                <w:kern w:val="2"/>
              </w:rPr>
              <w:t>七日年化收益率</w:t>
            </w:r>
          </w:p>
        </w:tc>
        <w:tc>
          <w:tcPr>
            <w:tcW w:w="4711" w:type="dxa"/>
            <w:tcMar>
              <w:top w:w="0" w:type="dxa"/>
              <w:left w:w="108" w:type="dxa"/>
              <w:bottom w:w="0" w:type="dxa"/>
              <w:right w:w="108" w:type="dxa"/>
            </w:tcMar>
          </w:tcPr>
          <w:p>
            <w:pPr>
              <w:snapToGrid w:val="0"/>
              <w:spacing w:line="360" w:lineRule="auto"/>
              <w:jc w:val="left"/>
              <w:rPr>
                <w:rFonts w:ascii="仿宋_GB2312" w:eastAsia="仿宋_GB2312"/>
                <w:color w:val="000000"/>
                <w:sz w:val="24"/>
                <w:szCs w:val="24"/>
              </w:rPr>
            </w:pPr>
            <w:r>
              <w:rPr>
                <w:rFonts w:ascii="仿宋_GB2312" w:hAnsi="Calibri" w:eastAsia="仿宋_GB2312" w:cs="宋体"/>
                <w:color w:val="000000"/>
                <w:sz w:val="24"/>
                <w:szCs w:val="24"/>
              </w:rPr>
              <w:t>-</w:t>
            </w:r>
          </w:p>
        </w:tc>
      </w:tr>
    </w:tbl>
    <w:p>
      <w:pPr>
        <w:snapToGrid w:val="0"/>
        <w:spacing w:line="360" w:lineRule="auto"/>
        <w:rPr>
          <w:rFonts w:ascii="仿宋_GB2312" w:eastAsia="仿宋_GB2312"/>
          <w:b/>
          <w:sz w:val="24"/>
          <w:szCs w:val="24"/>
        </w:rPr>
      </w:pPr>
      <w:r>
        <w:rPr>
          <w:rFonts w:hint="eastAsia" w:ascii="仿宋_GB2312" w:eastAsia="仿宋_GB2312"/>
          <w:b/>
          <w:sz w:val="24"/>
          <w:szCs w:val="24"/>
        </w:rPr>
        <w:t>4.投资组合报告</w:t>
      </w:r>
    </w:p>
    <w:p>
      <w:pPr>
        <w:spacing w:line="360" w:lineRule="auto"/>
        <w:ind w:firstLine="482"/>
        <w:rPr>
          <w:rFonts w:ascii="仿宋_GB2312" w:eastAsia="仿宋_GB2312"/>
          <w:b/>
          <w:bCs/>
          <w:sz w:val="24"/>
          <w:szCs w:val="24"/>
        </w:rPr>
      </w:pPr>
      <w:r>
        <w:rPr>
          <w:rFonts w:hint="eastAsia" w:ascii="仿宋_GB2312" w:eastAsia="仿宋_GB2312"/>
          <w:b/>
          <w:bCs/>
          <w:sz w:val="24"/>
          <w:szCs w:val="24"/>
        </w:rPr>
        <w:t>4.1 报告期末产品资产组合情况</w:t>
      </w:r>
    </w:p>
    <w:p>
      <w:pPr>
        <w:rPr>
          <w:rFonts w:ascii="仿宋_GB2312" w:hAnsi="Calibri" w:eastAsia="仿宋_GB2312"/>
          <w:sz w:val="24"/>
          <w:szCs w:val="24"/>
        </w:rPr>
      </w:pPr>
    </w:p>
    <w:tbl>
      <w:tblPr>
        <w:tblStyle w:val="9"/>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1"/>
        <w:gridCol w:w="2620"/>
        <w:gridCol w:w="2694"/>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5" w:hRule="atLeast"/>
        </w:trPr>
        <w:tc>
          <w:tcPr>
            <w:tcW w:w="1281" w:type="dxa"/>
            <w:vAlign w:val="center"/>
          </w:tcPr>
          <w:p>
            <w:pPr>
              <w:adjustRightInd w:val="0"/>
              <w:snapToGrid w:val="0"/>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序号</w:t>
            </w:r>
          </w:p>
        </w:tc>
        <w:tc>
          <w:tcPr>
            <w:tcW w:w="2620"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项目</w:t>
            </w:r>
          </w:p>
        </w:tc>
        <w:tc>
          <w:tcPr>
            <w:tcW w:w="2694"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金额（元）</w:t>
            </w:r>
          </w:p>
        </w:tc>
        <w:tc>
          <w:tcPr>
            <w:tcW w:w="2477" w:type="dxa"/>
            <w:vAlign w:val="center"/>
          </w:tcPr>
          <w:p>
            <w:pPr>
              <w:adjustRightInd w:val="0"/>
              <w:snapToGrid w:val="0"/>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占产品资产净值比例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1281"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1</w:t>
            </w:r>
          </w:p>
        </w:tc>
        <w:tc>
          <w:tcPr>
            <w:tcW w:w="2620"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银行存款</w:t>
            </w:r>
          </w:p>
        </w:tc>
        <w:tc>
          <w:tcPr>
            <w:tcW w:w="2694"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791,532.17</w:t>
            </w:r>
          </w:p>
        </w:tc>
        <w:tc>
          <w:tcPr>
            <w:tcW w:w="2477" w:type="dxa"/>
            <w:vAlign w:val="center"/>
          </w:tcPr>
          <w:p>
            <w:pPr>
              <w:adjustRightInd w:val="0"/>
              <w:snapToGrid w:val="0"/>
              <w:spacing w:line="360" w:lineRule="auto"/>
              <w:jc w:val="center"/>
              <w:rPr>
                <w:rFonts w:ascii="仿宋_GB2312" w:eastAsia="仿宋_GB2312" w:hAnsiTheme="minorEastAsia"/>
                <w:sz w:val="24"/>
                <w:szCs w:val="24"/>
              </w:rPr>
            </w:pPr>
            <w:r>
              <w:rPr>
                <w:rFonts w:ascii="仿宋_GB2312" w:hAnsi="Calibri" w:eastAsia="仿宋_GB2312" w:cs="宋体"/>
                <w:color w:val="000000"/>
                <w:sz w:val="24"/>
                <w:szCs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2</w:t>
            </w:r>
          </w:p>
        </w:tc>
        <w:tc>
          <w:tcPr>
            <w:tcW w:w="2620" w:type="dxa"/>
            <w:vAlign w:val="center"/>
          </w:tcPr>
          <w:p>
            <w:pPr>
              <w:jc w:val="center"/>
            </w:pPr>
            <w:r>
              <w:rPr>
                <w:rFonts w:eastAsia="Times New Roman"/>
                <w:color w:val="000000"/>
                <w:sz w:val="24"/>
              </w:rPr>
              <w:t>债券投资</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1,855,453,011.65</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105.67%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3</w:t>
            </w:r>
          </w:p>
        </w:tc>
        <w:tc>
          <w:tcPr>
            <w:tcW w:w="2620" w:type="dxa"/>
            <w:vAlign w:val="center"/>
          </w:tcPr>
          <w:p>
            <w:pPr>
              <w:jc w:val="center"/>
            </w:pPr>
            <w:r>
              <w:rPr>
                <w:rFonts w:eastAsia="Times New Roman"/>
                <w:color w:val="000000"/>
                <w:sz w:val="24"/>
              </w:rPr>
              <w:t>资产支持证券投资</w:t>
            </w:r>
          </w:p>
        </w:tc>
        <w:tc>
          <w:tcPr>
            <w:tcW w:w="2694" w:type="dxa"/>
            <w:vAlign w:val="center"/>
          </w:tcPr>
          <w:p>
            <w:pPr>
              <w:jc w:val="center"/>
            </w:pPr>
            <w:r>
              <w:rPr>
                <w:rFonts w:eastAsia="Times New Roman"/>
                <w:color w:val="000000"/>
                <w:sz w:val="24"/>
              </w:rPr>
              <w:t>-</w:t>
            </w:r>
          </w:p>
        </w:tc>
        <w:tc>
          <w:tcPr>
            <w:tcW w:w="2477" w:type="dxa"/>
            <w:vAlign w:val="center"/>
          </w:tcPr>
          <w:p>
            <w:pPr>
              <w:jc w:val="center"/>
            </w:pPr>
            <w:r>
              <w:rPr>
                <w:rFonts w:eastAsia="Times New Roman"/>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4</w:t>
            </w:r>
          </w:p>
        </w:tc>
        <w:tc>
          <w:tcPr>
            <w:tcW w:w="2620" w:type="dxa"/>
            <w:vAlign w:val="center"/>
          </w:tcPr>
          <w:p>
            <w:pPr>
              <w:jc w:val="center"/>
            </w:pPr>
            <w:r>
              <w:rPr>
                <w:rFonts w:eastAsia="Times New Roman"/>
                <w:color w:val="000000"/>
                <w:sz w:val="24"/>
              </w:rPr>
              <w:t>信托计划</w:t>
            </w:r>
          </w:p>
        </w:tc>
        <w:tc>
          <w:tcPr>
            <w:tcW w:w="2694" w:type="dxa"/>
            <w:vAlign w:val="center"/>
          </w:tcPr>
          <w:p>
            <w:pPr>
              <w:jc w:val="center"/>
            </w:pPr>
            <w:r>
              <w:rPr>
                <w:rFonts w:eastAsia="Times New Roman"/>
                <w:color w:val="000000"/>
                <w:sz w:val="24"/>
              </w:rPr>
              <w:t>-</w:t>
            </w:r>
          </w:p>
        </w:tc>
        <w:tc>
          <w:tcPr>
            <w:tcW w:w="2477" w:type="dxa"/>
            <w:vAlign w:val="center"/>
          </w:tcPr>
          <w:p>
            <w:pPr>
              <w:jc w:val="center"/>
            </w:pPr>
            <w:r>
              <w:rPr>
                <w:rFonts w:eastAsia="Times New Roman"/>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5</w:t>
            </w:r>
          </w:p>
        </w:tc>
        <w:tc>
          <w:tcPr>
            <w:tcW w:w="2620" w:type="dxa"/>
            <w:vAlign w:val="center"/>
          </w:tcPr>
          <w:p>
            <w:pPr>
              <w:jc w:val="center"/>
            </w:pPr>
            <w:r>
              <w:rPr>
                <w:rFonts w:eastAsia="Times New Roman"/>
                <w:color w:val="000000"/>
                <w:sz w:val="24"/>
              </w:rPr>
              <w:t>资产管理计划</w:t>
            </w:r>
          </w:p>
        </w:tc>
        <w:tc>
          <w:tcPr>
            <w:tcW w:w="2694" w:type="dxa"/>
            <w:vAlign w:val="center"/>
          </w:tcPr>
          <w:p>
            <w:pPr>
              <w:jc w:val="center"/>
            </w:pPr>
            <w:r>
              <w:rPr>
                <w:rFonts w:eastAsia="Times New Roman"/>
                <w:color w:val="000000"/>
                <w:sz w:val="24"/>
              </w:rPr>
              <w:t>-</w:t>
            </w:r>
          </w:p>
        </w:tc>
        <w:tc>
          <w:tcPr>
            <w:tcW w:w="2477" w:type="dxa"/>
            <w:vAlign w:val="center"/>
          </w:tcPr>
          <w:p>
            <w:pPr>
              <w:jc w:val="center"/>
            </w:pPr>
            <w:r>
              <w:rPr>
                <w:rFonts w:eastAsia="Times New Roman"/>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6</w:t>
            </w:r>
          </w:p>
        </w:tc>
        <w:tc>
          <w:tcPr>
            <w:tcW w:w="2620" w:type="dxa"/>
            <w:vAlign w:val="center"/>
          </w:tcPr>
          <w:p>
            <w:pPr>
              <w:jc w:val="center"/>
            </w:pPr>
            <w:r>
              <w:rPr>
                <w:rFonts w:eastAsia="Times New Roman"/>
                <w:color w:val="000000"/>
                <w:sz w:val="24"/>
              </w:rPr>
              <w:t>净值类资产管理计划</w:t>
            </w:r>
          </w:p>
        </w:tc>
        <w:tc>
          <w:tcPr>
            <w:tcW w:w="2694" w:type="dxa"/>
            <w:vAlign w:val="center"/>
          </w:tcPr>
          <w:p>
            <w:pPr>
              <w:jc w:val="center"/>
            </w:pPr>
            <w:r>
              <w:rPr>
                <w:rFonts w:eastAsia="Times New Roman"/>
                <w:color w:val="000000"/>
                <w:sz w:val="24"/>
              </w:rPr>
              <w:t>-</w:t>
            </w:r>
          </w:p>
        </w:tc>
        <w:tc>
          <w:tcPr>
            <w:tcW w:w="2477" w:type="dxa"/>
            <w:vAlign w:val="center"/>
          </w:tcPr>
          <w:p>
            <w:pPr>
              <w:jc w:val="center"/>
            </w:pPr>
            <w:r>
              <w:rPr>
                <w:rFonts w:eastAsia="Times New Roman"/>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7</w:t>
            </w:r>
          </w:p>
        </w:tc>
        <w:tc>
          <w:tcPr>
            <w:tcW w:w="2620" w:type="dxa"/>
            <w:vAlign w:val="center"/>
          </w:tcPr>
          <w:p>
            <w:pPr>
              <w:jc w:val="center"/>
            </w:pPr>
            <w:r>
              <w:rPr>
                <w:rFonts w:eastAsia="Times New Roman"/>
                <w:color w:val="000000"/>
                <w:sz w:val="24"/>
              </w:rPr>
              <w:t>资金拆出</w:t>
            </w:r>
          </w:p>
        </w:tc>
        <w:tc>
          <w:tcPr>
            <w:tcW w:w="2694" w:type="dxa"/>
            <w:vAlign w:val="center"/>
          </w:tcPr>
          <w:p>
            <w:pPr>
              <w:jc w:val="center"/>
            </w:pPr>
            <w:r>
              <w:rPr>
                <w:rFonts w:eastAsia="Times New Roman"/>
                <w:color w:val="000000"/>
                <w:sz w:val="24"/>
              </w:rPr>
              <w:t>-</w:t>
            </w:r>
          </w:p>
        </w:tc>
        <w:tc>
          <w:tcPr>
            <w:tcW w:w="2477" w:type="dxa"/>
            <w:vAlign w:val="center"/>
          </w:tcPr>
          <w:p>
            <w:pPr>
              <w:jc w:val="center"/>
            </w:pPr>
            <w:r>
              <w:rPr>
                <w:rFonts w:eastAsia="Times New Roman"/>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8</w:t>
            </w:r>
          </w:p>
        </w:tc>
        <w:tc>
          <w:tcPr>
            <w:tcW w:w="2620" w:type="dxa"/>
            <w:vAlign w:val="center"/>
          </w:tcPr>
          <w:p>
            <w:pPr>
              <w:jc w:val="center"/>
            </w:pPr>
            <w:r>
              <w:rPr>
                <w:rFonts w:eastAsia="Times New Roman"/>
                <w:color w:val="000000"/>
                <w:sz w:val="24"/>
              </w:rPr>
              <w:t>结算备付金</w:t>
            </w:r>
          </w:p>
        </w:tc>
        <w:tc>
          <w:tcPr>
            <w:tcW w:w="2694" w:type="dxa"/>
            <w:vAlign w:val="center"/>
          </w:tcPr>
          <w:p>
            <w:pPr>
              <w:jc w:val="center"/>
            </w:pPr>
            <w:r>
              <w:rPr>
                <w:rFonts w:eastAsia="Times New Roman"/>
                <w:color w:val="000000"/>
                <w:sz w:val="24"/>
              </w:rPr>
              <w:t>-</w:t>
            </w:r>
          </w:p>
        </w:tc>
        <w:tc>
          <w:tcPr>
            <w:tcW w:w="2477" w:type="dxa"/>
            <w:vAlign w:val="center"/>
          </w:tcPr>
          <w:p>
            <w:pPr>
              <w:jc w:val="center"/>
            </w:pPr>
            <w:r>
              <w:rPr>
                <w:rFonts w:eastAsia="Times New Roman"/>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9</w:t>
            </w:r>
          </w:p>
        </w:tc>
        <w:tc>
          <w:tcPr>
            <w:tcW w:w="2620" w:type="dxa"/>
            <w:vAlign w:val="center"/>
          </w:tcPr>
          <w:p>
            <w:pPr>
              <w:jc w:val="center"/>
            </w:pPr>
            <w:r>
              <w:rPr>
                <w:rFonts w:eastAsia="Times New Roman"/>
                <w:color w:val="000000"/>
                <w:sz w:val="24"/>
              </w:rPr>
              <w:t>买入返售金融资产</w:t>
            </w:r>
          </w:p>
        </w:tc>
        <w:tc>
          <w:tcPr>
            <w:tcW w:w="2694" w:type="dxa"/>
            <w:vAlign w:val="center"/>
          </w:tcPr>
          <w:p>
            <w:pPr>
              <w:jc w:val="center"/>
            </w:pPr>
            <w:r>
              <w:rPr>
                <w:rFonts w:eastAsia="Times New Roman"/>
                <w:color w:val="000000"/>
                <w:sz w:val="24"/>
              </w:rPr>
              <w:t>-</w:t>
            </w:r>
          </w:p>
        </w:tc>
        <w:tc>
          <w:tcPr>
            <w:tcW w:w="2477" w:type="dxa"/>
            <w:vAlign w:val="center"/>
          </w:tcPr>
          <w:p>
            <w:pPr>
              <w:jc w:val="center"/>
            </w:pPr>
            <w:r>
              <w:rPr>
                <w:rFonts w:eastAsia="Times New Roman"/>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10</w:t>
            </w:r>
          </w:p>
        </w:tc>
        <w:tc>
          <w:tcPr>
            <w:tcW w:w="2620" w:type="dxa"/>
            <w:vAlign w:val="center"/>
          </w:tcPr>
          <w:p>
            <w:pPr>
              <w:jc w:val="center"/>
            </w:pPr>
            <w:r>
              <w:rPr>
                <w:rFonts w:eastAsia="Times New Roman"/>
                <w:color w:val="000000"/>
                <w:sz w:val="24"/>
              </w:rPr>
              <w:t>其他资产</w:t>
            </w:r>
          </w:p>
        </w:tc>
        <w:tc>
          <w:tcPr>
            <w:tcW w:w="2694" w:type="dxa"/>
            <w:vAlign w:val="center"/>
          </w:tcPr>
          <w:p>
            <w:pPr>
              <w:jc w:val="center"/>
              <w:textAlignment w:val="auto"/>
            </w:pPr>
            <w:r>
              <w:rPr>
                <w:rFonts w:ascii="Times New Roman" w:hAnsi="Times New Roman" w:eastAsia="Times New Roman" w:cs="Times New Roman"/>
                <w:b w:val="0"/>
                <w:i w:val="0"/>
                <w:color w:val="000000"/>
                <w:sz w:val="24"/>
                <w:u w:val="none"/>
              </w:rPr>
              <w:t>0.00</w:t>
            </w:r>
          </w:p>
        </w:tc>
        <w:tc>
          <w:tcPr>
            <w:tcW w:w="2477" w:type="dxa"/>
            <w:vAlign w:val="center"/>
          </w:tcPr>
          <w:p>
            <w:pPr>
              <w:jc w:val="center"/>
              <w:textAlignment w:val="auto"/>
            </w:pPr>
            <w:r>
              <w:rPr>
                <w:rFonts w:ascii="Times New Roman" w:hAnsi="Times New Roman" w:eastAsia="Times New Roman" w:cs="Times New Roman"/>
                <w:b w:val="0"/>
                <w:i w:val="0"/>
                <w:color w:val="000000"/>
                <w:sz w:val="24"/>
                <w:u w:val="non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r>
              <w:rPr>
                <w:rFonts w:eastAsia="Times New Roman"/>
                <w:color w:val="000000"/>
                <w:sz w:val="24"/>
              </w:rPr>
              <w:t>11</w:t>
            </w:r>
          </w:p>
        </w:tc>
        <w:tc>
          <w:tcPr>
            <w:tcW w:w="2620" w:type="dxa"/>
            <w:vAlign w:val="center"/>
          </w:tcPr>
          <w:p>
            <w:pPr>
              <w:jc w:val="center"/>
            </w:pPr>
            <w:r>
              <w:rPr>
                <w:rFonts w:eastAsia="Times New Roman"/>
                <w:color w:val="000000"/>
                <w:sz w:val="24"/>
              </w:rPr>
              <w:t>应收利息</w:t>
            </w:r>
          </w:p>
        </w:tc>
        <w:tc>
          <w:tcPr>
            <w:tcW w:w="2694" w:type="dxa"/>
            <w:vAlign w:val="center"/>
          </w:tcPr>
          <w:p>
            <w:pPr>
              <w:jc w:val="center"/>
            </w:pPr>
            <w:r>
              <w:rPr>
                <w:rFonts w:eastAsia="Times New Roman"/>
                <w:color w:val="000000"/>
                <w:sz w:val="24"/>
              </w:rPr>
              <w:t>28,145,788.03</w:t>
            </w:r>
          </w:p>
        </w:tc>
        <w:tc>
          <w:tcPr>
            <w:tcW w:w="2477" w:type="dxa"/>
            <w:vAlign w:val="center"/>
          </w:tcPr>
          <w:p>
            <w:pPr>
              <w:jc w:val="center"/>
            </w:pPr>
            <w:r>
              <w:rPr>
                <w:rFonts w:eastAsia="Times New Roman"/>
                <w:color w:val="000000"/>
                <w:sz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281" w:type="dxa"/>
            <w:vAlign w:val="center"/>
          </w:tcPr>
          <w:p>
            <w:pPr>
              <w:jc w:val="center"/>
            </w:pPr>
          </w:p>
        </w:tc>
        <w:tc>
          <w:tcPr>
            <w:tcW w:w="2620" w:type="dxa"/>
            <w:vAlign w:val="center"/>
          </w:tcPr>
          <w:p>
            <w:pPr>
              <w:jc w:val="center"/>
            </w:pPr>
            <w:r>
              <w:rPr>
                <w:rFonts w:eastAsia="Times New Roman"/>
                <w:color w:val="000000"/>
                <w:sz w:val="24"/>
              </w:rPr>
              <w:t>合计</w:t>
            </w:r>
          </w:p>
        </w:tc>
        <w:tc>
          <w:tcPr>
            <w:tcW w:w="2694" w:type="dxa"/>
            <w:vAlign w:val="center"/>
          </w:tcPr>
          <w:p>
            <w:pPr>
              <w:jc w:val="center"/>
            </w:pPr>
            <w:r>
              <w:rPr>
                <w:rFonts w:eastAsia="Times New Roman"/>
                <w:color w:val="000000"/>
                <w:sz w:val="24"/>
              </w:rPr>
              <w:t>1,884,390,331.85</w:t>
            </w:r>
          </w:p>
        </w:tc>
        <w:tc>
          <w:tcPr>
            <w:tcW w:w="2477" w:type="dxa"/>
            <w:vAlign w:val="center"/>
          </w:tcPr>
          <w:p>
            <w:pPr>
              <w:jc w:val="center"/>
            </w:pPr>
            <w:r>
              <w:rPr>
                <w:rFonts w:eastAsia="Times New Roman"/>
                <w:color w:val="000000"/>
                <w:sz w:val="24"/>
              </w:rPr>
              <w:t>107.32%</w:t>
            </w:r>
          </w:p>
        </w:tc>
      </w:tr>
    </w:tbl>
    <w:p>
      <w:pPr>
        <w:spacing w:line="360" w:lineRule="auto"/>
        <w:ind w:firstLine="482"/>
        <w:rPr>
          <w:rFonts w:ascii="仿宋_GB2312" w:hAnsi="Calibri" w:eastAsia="仿宋_GB2312"/>
          <w:sz w:val="24"/>
          <w:szCs w:val="24"/>
        </w:rPr>
      </w:pPr>
      <w:r>
        <w:rPr>
          <w:rFonts w:hint="eastAsia" w:ascii="仿宋_GB2312" w:eastAsia="仿宋_GB2312"/>
          <w:b/>
          <w:bCs/>
          <w:sz w:val="24"/>
          <w:szCs w:val="24"/>
        </w:rPr>
        <w:t>4.2 报告期内产品投资策略和组合流动性风险分析</w:t>
      </w:r>
    </w:p>
    <w:p>
      <w:pPr>
        <w:snapToGrid w:val="0"/>
        <w:spacing w:line="360" w:lineRule="auto"/>
        <w:ind w:firstLine="360"/>
        <w:jc w:val="left"/>
        <w:rPr>
          <w:rFonts w:ascii="仿宋_GB2312" w:hAnsi="Calibri" w:eastAsia="仿宋_GB2312"/>
          <w:sz w:val="24"/>
          <w:szCs w:val="24"/>
        </w:rPr>
      </w:pPr>
      <w:r>
        <w:rPr>
          <w:rFonts w:hint="eastAsia" w:ascii="仿宋_GB2312" w:hAnsi="Calibri" w:eastAsia="仿宋_GB2312"/>
          <w:sz w:val="24"/>
          <w:szCs w:val="24"/>
        </w:rPr>
        <w:t>报告期内，债券收益率持续震荡，十年期国债收益率全年收在3.19%，整个一季度小幅上行。本产品采用混合法估值，以配置中短久期的高等级信用债为主,通过分散化投资构建具有较好流动性、久期适中、信用风险可控的优质债券组合。本产品持仓以高评级信用债为主，杠杆率控制在合理水平，组合的流动性风险处于合理可控水平。</w:t>
      </w:r>
    </w:p>
    <w:p>
      <w:pPr>
        <w:spacing w:line="360" w:lineRule="auto"/>
        <w:ind w:firstLine="482" w:firstLineChars="200"/>
        <w:rPr>
          <w:rFonts w:ascii="仿宋_GB2312" w:eastAsia="仿宋_GB2312" w:hAnsiTheme="minorEastAsia"/>
          <w:b/>
          <w:bCs/>
          <w:sz w:val="24"/>
          <w:szCs w:val="24"/>
        </w:rPr>
      </w:pPr>
      <w:r>
        <w:rPr>
          <w:rFonts w:ascii="仿宋_GB2312" w:eastAsia="仿宋_GB2312" w:hAnsiTheme="minorEastAsia"/>
          <w:b/>
          <w:bCs/>
          <w:sz w:val="24"/>
          <w:szCs w:val="24"/>
        </w:rPr>
        <w:t>4.3报告期末占比前十项资产明细</w:t>
      </w:r>
    </w:p>
    <w:tbl>
      <w:tblPr>
        <w:tblStyle w:val="9"/>
        <w:tblW w:w="907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1139"/>
        <w:gridCol w:w="2268"/>
        <w:gridCol w:w="2835"/>
        <w:gridCol w:w="2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96" w:hRule="atLeast"/>
        </w:trPr>
        <w:tc>
          <w:tcPr>
            <w:tcW w:w="1139" w:type="dxa"/>
            <w:vAlign w:val="center"/>
          </w:tcPr>
          <w:p>
            <w:pPr>
              <w:adjustRightInd w:val="0"/>
              <w:snapToGrid w:val="0"/>
              <w:spacing w:line="360" w:lineRule="auto"/>
              <w:jc w:val="center"/>
              <w:rPr>
                <w:rFonts w:ascii="仿宋_GB2312" w:eastAsia="仿宋_GB2312" w:hAnsiTheme="minorEastAsia"/>
                <w:color w:val="000000"/>
                <w:sz w:val="24"/>
                <w:szCs w:val="24"/>
              </w:rPr>
            </w:pPr>
            <w:r>
              <w:rPr>
                <w:rFonts w:hint="eastAsia" w:ascii="仿宋_GB2312" w:eastAsia="仿宋_GB2312" w:hAnsiTheme="minorEastAsia"/>
                <w:color w:val="000000"/>
                <w:sz w:val="24"/>
                <w:szCs w:val="24"/>
              </w:rPr>
              <w:t>序号</w:t>
            </w:r>
          </w:p>
        </w:tc>
        <w:tc>
          <w:tcPr>
            <w:tcW w:w="2268" w:type="dxa"/>
            <w:tcMar>
              <w:top w:w="15" w:type="dxa"/>
              <w:left w:w="15" w:type="dxa"/>
              <w:bottom w:w="0" w:type="dxa"/>
              <w:right w:w="15" w:type="dxa"/>
            </w:tcMar>
            <w:vAlign w:val="center"/>
          </w:tcPr>
          <w:p>
            <w:pPr>
              <w:pStyle w:val="14"/>
              <w:widowControl w:val="0"/>
              <w:pBdr>
                <w:left w:val="none" w:color="auto" w:sz="0" w:space="0"/>
                <w:bottom w:val="none" w:color="auto" w:sz="0" w:space="0"/>
                <w:right w:val="none" w:color="auto" w:sz="0" w:space="0"/>
              </w:pBdr>
              <w:adjustRightInd w:val="0"/>
              <w:snapToGrid w:val="0"/>
              <w:spacing w:before="0" w:beforeAutospacing="0" w:after="0" w:afterAutospacing="0" w:line="360" w:lineRule="auto"/>
              <w:rPr>
                <w:rFonts w:ascii="仿宋_GB2312" w:eastAsia="仿宋_GB2312" w:cs="Times New Roman" w:hAnsiTheme="minorEastAsia"/>
                <w:color w:val="000000"/>
                <w:kern w:val="2"/>
              </w:rPr>
            </w:pPr>
            <w:r>
              <w:rPr>
                <w:rFonts w:hint="eastAsia" w:ascii="仿宋_GB2312" w:eastAsia="仿宋_GB2312" w:cs="Times New Roman" w:hAnsiTheme="minorEastAsia"/>
                <w:color w:val="000000"/>
                <w:kern w:val="2"/>
              </w:rPr>
              <w:t>资产名称</w:t>
            </w:r>
          </w:p>
        </w:tc>
        <w:tc>
          <w:tcPr>
            <w:tcW w:w="2835" w:type="dxa"/>
          </w:tcPr>
          <w:p>
            <w:pPr>
              <w:adjustRightInd w:val="0"/>
              <w:snapToGrid w:val="0"/>
              <w:spacing w:line="360" w:lineRule="auto"/>
              <w:jc w:val="center"/>
              <w:rPr>
                <w:rFonts w:ascii="仿宋_GB2312" w:eastAsia="仿宋_GB2312" w:hAnsiTheme="minorEastAsia"/>
                <w:color w:val="000000"/>
                <w:sz w:val="24"/>
                <w:szCs w:val="24"/>
              </w:rPr>
            </w:pPr>
            <w:r>
              <w:rPr>
                <w:rFonts w:hint="eastAsia" w:ascii="仿宋_GB2312" w:eastAsia="仿宋_GB2312" w:hAnsiTheme="minorEastAsia"/>
                <w:color w:val="000000"/>
                <w:sz w:val="24"/>
                <w:szCs w:val="24"/>
              </w:rPr>
              <w:t>资产规模</w:t>
            </w:r>
          </w:p>
        </w:tc>
        <w:tc>
          <w:tcPr>
            <w:tcW w:w="2835" w:type="dxa"/>
            <w:tcMar>
              <w:top w:w="15" w:type="dxa"/>
              <w:left w:w="15" w:type="dxa"/>
              <w:bottom w:w="0" w:type="dxa"/>
              <w:right w:w="15" w:type="dxa"/>
            </w:tcMar>
            <w:vAlign w:val="center"/>
          </w:tcPr>
          <w:p>
            <w:pPr>
              <w:adjustRightInd w:val="0"/>
              <w:snapToGrid w:val="0"/>
              <w:spacing w:line="360" w:lineRule="auto"/>
              <w:jc w:val="center"/>
              <w:rPr>
                <w:rFonts w:ascii="仿宋_GB2312" w:eastAsia="仿宋_GB2312" w:hAnsiTheme="minorEastAsia"/>
                <w:color w:val="000000"/>
                <w:sz w:val="24"/>
                <w:szCs w:val="24"/>
              </w:rPr>
            </w:pPr>
            <w:r>
              <w:rPr>
                <w:rFonts w:hint="eastAsia" w:ascii="仿宋_GB2312" w:eastAsia="仿宋_GB2312" w:hAnsiTheme="minorEastAsia"/>
                <w:color w:val="000000"/>
                <w:sz w:val="24"/>
                <w:szCs w:val="24"/>
              </w:rPr>
              <w:t>占产品资产净值比例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96" w:hRule="atLeast"/>
        </w:trPr>
        <w:tc>
          <w:tcPr>
            <w:tcW w:w="1139" w:type="dxa"/>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1</w:t>
            </w:r>
          </w:p>
        </w:tc>
        <w:tc>
          <w:tcPr>
            <w:tcW w:w="2268" w:type="dxa"/>
            <w:tcMar>
              <w:top w:w="15" w:type="dxa"/>
              <w:left w:w="15" w:type="dxa"/>
              <w:bottom w:w="0" w:type="dxa"/>
              <w:right w:w="15" w:type="dxa"/>
            </w:tcMar>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21河钢集CP001</w:t>
            </w:r>
          </w:p>
        </w:tc>
        <w:tc>
          <w:tcPr>
            <w:tcW w:w="2835" w:type="dxa"/>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150,015,000.00</w:t>
            </w:r>
          </w:p>
        </w:tc>
        <w:tc>
          <w:tcPr>
            <w:tcW w:w="2835" w:type="dxa"/>
            <w:tcMar>
              <w:top w:w="15" w:type="dxa"/>
              <w:left w:w="15" w:type="dxa"/>
              <w:bottom w:w="0" w:type="dxa"/>
              <w:right w:w="15" w:type="dxa"/>
            </w:tcMar>
          </w:tcPr>
          <w:p>
            <w:pPr>
              <w:adjustRightInd w:val="0"/>
              <w:snapToGrid w:val="0"/>
              <w:spacing w:line="360" w:lineRule="auto"/>
              <w:jc w:val="center"/>
              <w:rPr>
                <w:rFonts w:ascii="仿宋_GB2312" w:eastAsia="仿宋_GB2312" w:hAnsiTheme="minorEastAsia"/>
                <w:color w:val="000000"/>
                <w:sz w:val="24"/>
                <w:szCs w:val="24"/>
              </w:rPr>
            </w:pPr>
            <w:r>
              <w:rPr>
                <w:rFonts w:ascii="仿宋_GB2312" w:hAnsi="Calibri" w:eastAsia="仿宋_GB2312" w:cs="宋体"/>
                <w:color w:val="000000"/>
                <w:sz w:val="24"/>
                <w:szCs w:val="24"/>
              </w:rPr>
              <w:t>8.54%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eastAsia="Times New Roman"/>
                <w:color w:val="000000"/>
                <w:sz w:val="24"/>
              </w:rPr>
              <w:t>2</w:t>
            </w:r>
          </w:p>
        </w:tc>
        <w:tc>
          <w:tcPr>
            <w:tcW w:w="2268" w:type="dxa"/>
            <w:tcMar>
              <w:top w:w="15" w:type="dxa"/>
              <w:left w:w="15" w:type="dxa"/>
              <w:bottom w:w="0" w:type="dxa"/>
              <w:right w:w="15" w:type="dxa"/>
            </w:tcMar>
          </w:tcPr>
          <w:p>
            <w:pPr>
              <w:jc w:val="center"/>
            </w:pPr>
            <w:r>
              <w:rPr>
                <w:rFonts w:eastAsia="Times New Roman"/>
                <w:color w:val="000000"/>
                <w:sz w:val="24"/>
              </w:rPr>
              <w:t>17华夏银行二级01</w:t>
            </w:r>
          </w:p>
        </w:tc>
        <w:tc>
          <w:tcPr>
            <w:tcW w:w="2835" w:type="dxa"/>
          </w:tcPr>
          <w:p>
            <w:pPr>
              <w:jc w:val="center"/>
            </w:pPr>
            <w:r>
              <w:rPr>
                <w:rFonts w:eastAsia="Times New Roman"/>
                <w:color w:val="000000"/>
                <w:sz w:val="24"/>
              </w:rPr>
              <w:t>101,660,000.00</w:t>
            </w:r>
          </w:p>
        </w:tc>
        <w:tc>
          <w:tcPr>
            <w:tcW w:w="2835" w:type="dxa"/>
            <w:tcMar>
              <w:top w:w="15" w:type="dxa"/>
              <w:left w:w="15" w:type="dxa"/>
              <w:bottom w:w="0" w:type="dxa"/>
              <w:right w:w="15" w:type="dxa"/>
            </w:tcMar>
          </w:tcPr>
          <w:p>
            <w:pPr>
              <w:jc w:val="center"/>
            </w:pPr>
            <w:r>
              <w:rPr>
                <w:rFonts w:eastAsia="Times New Roman"/>
                <w:color w:val="000000"/>
                <w:sz w:val="24"/>
              </w:rPr>
              <w:t>5.79%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eastAsia="Times New Roman"/>
                <w:color w:val="000000"/>
                <w:sz w:val="24"/>
              </w:rPr>
              <w:t>3</w:t>
            </w:r>
          </w:p>
        </w:tc>
        <w:tc>
          <w:tcPr>
            <w:tcW w:w="2268" w:type="dxa"/>
            <w:tcMar>
              <w:top w:w="15" w:type="dxa"/>
              <w:left w:w="15" w:type="dxa"/>
              <w:bottom w:w="0" w:type="dxa"/>
              <w:right w:w="15" w:type="dxa"/>
            </w:tcMar>
          </w:tcPr>
          <w:p>
            <w:pPr>
              <w:jc w:val="center"/>
            </w:pPr>
            <w:r>
              <w:rPr>
                <w:rFonts w:eastAsia="Times New Roman"/>
                <w:color w:val="000000"/>
                <w:sz w:val="24"/>
              </w:rPr>
              <w:t>21新希望CP002(高成长债)</w:t>
            </w:r>
          </w:p>
        </w:tc>
        <w:tc>
          <w:tcPr>
            <w:tcW w:w="2835" w:type="dxa"/>
          </w:tcPr>
          <w:p>
            <w:pPr>
              <w:jc w:val="center"/>
            </w:pPr>
            <w:r>
              <w:rPr>
                <w:rFonts w:eastAsia="Times New Roman"/>
                <w:color w:val="000000"/>
                <w:sz w:val="24"/>
              </w:rPr>
              <w:t>99,990,000.00</w:t>
            </w:r>
          </w:p>
        </w:tc>
        <w:tc>
          <w:tcPr>
            <w:tcW w:w="2835" w:type="dxa"/>
            <w:tcMar>
              <w:top w:w="15" w:type="dxa"/>
              <w:left w:w="15" w:type="dxa"/>
              <w:bottom w:w="0" w:type="dxa"/>
              <w:right w:w="15" w:type="dxa"/>
            </w:tcMar>
          </w:tcPr>
          <w:p>
            <w:pPr>
              <w:jc w:val="center"/>
            </w:pPr>
            <w:r>
              <w:rPr>
                <w:rFonts w:eastAsia="Times New Roman"/>
                <w:color w:val="000000"/>
                <w:sz w:val="24"/>
              </w:rPr>
              <w:t>5.69%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eastAsia="Times New Roman"/>
                <w:color w:val="000000"/>
                <w:sz w:val="24"/>
              </w:rPr>
              <w:t>4</w:t>
            </w:r>
          </w:p>
        </w:tc>
        <w:tc>
          <w:tcPr>
            <w:tcW w:w="2268" w:type="dxa"/>
            <w:tcMar>
              <w:top w:w="15" w:type="dxa"/>
              <w:left w:w="15" w:type="dxa"/>
              <w:bottom w:w="0" w:type="dxa"/>
              <w:right w:w="15" w:type="dxa"/>
            </w:tcMar>
          </w:tcPr>
          <w:p>
            <w:pPr>
              <w:jc w:val="center"/>
            </w:pPr>
            <w:r>
              <w:rPr>
                <w:rFonts w:eastAsia="Times New Roman"/>
                <w:color w:val="000000"/>
                <w:sz w:val="24"/>
              </w:rPr>
              <w:t>20潞安CP002</w:t>
            </w:r>
          </w:p>
        </w:tc>
        <w:tc>
          <w:tcPr>
            <w:tcW w:w="2835" w:type="dxa"/>
          </w:tcPr>
          <w:p>
            <w:pPr>
              <w:jc w:val="center"/>
            </w:pPr>
            <w:r>
              <w:rPr>
                <w:rFonts w:eastAsia="Times New Roman"/>
                <w:color w:val="000000"/>
                <w:sz w:val="24"/>
              </w:rPr>
              <w:t>99,370,000.00</w:t>
            </w:r>
          </w:p>
        </w:tc>
        <w:tc>
          <w:tcPr>
            <w:tcW w:w="2835" w:type="dxa"/>
            <w:tcMar>
              <w:top w:w="15" w:type="dxa"/>
              <w:left w:w="15" w:type="dxa"/>
              <w:bottom w:w="0" w:type="dxa"/>
              <w:right w:w="15" w:type="dxa"/>
            </w:tcMar>
          </w:tcPr>
          <w:p>
            <w:pPr>
              <w:jc w:val="center"/>
            </w:pPr>
            <w:r>
              <w:rPr>
                <w:rFonts w:eastAsia="Times New Roman"/>
                <w:color w:val="000000"/>
                <w:sz w:val="24"/>
              </w:rPr>
              <w:t>5.66%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eastAsia="Times New Roman"/>
                <w:color w:val="000000"/>
                <w:sz w:val="24"/>
              </w:rPr>
              <w:t>5</w:t>
            </w:r>
          </w:p>
        </w:tc>
        <w:tc>
          <w:tcPr>
            <w:tcW w:w="2268" w:type="dxa"/>
            <w:tcMar>
              <w:top w:w="15" w:type="dxa"/>
              <w:left w:w="15" w:type="dxa"/>
              <w:bottom w:w="0" w:type="dxa"/>
              <w:right w:w="15" w:type="dxa"/>
            </w:tcMar>
          </w:tcPr>
          <w:p>
            <w:pPr>
              <w:jc w:val="center"/>
            </w:pPr>
            <w:r>
              <w:rPr>
                <w:rFonts w:eastAsia="Times New Roman"/>
                <w:color w:val="000000"/>
                <w:sz w:val="24"/>
              </w:rPr>
              <w:t>21中国银行CD007</w:t>
            </w:r>
          </w:p>
        </w:tc>
        <w:tc>
          <w:tcPr>
            <w:tcW w:w="2835" w:type="dxa"/>
          </w:tcPr>
          <w:p>
            <w:pPr>
              <w:jc w:val="center"/>
            </w:pPr>
            <w:r>
              <w:rPr>
                <w:rFonts w:eastAsia="Times New Roman"/>
                <w:color w:val="000000"/>
                <w:sz w:val="24"/>
              </w:rPr>
              <w:t>97,850,000.00</w:t>
            </w:r>
          </w:p>
        </w:tc>
        <w:tc>
          <w:tcPr>
            <w:tcW w:w="2835" w:type="dxa"/>
            <w:tcMar>
              <w:top w:w="15" w:type="dxa"/>
              <w:left w:w="15" w:type="dxa"/>
              <w:bottom w:w="0" w:type="dxa"/>
              <w:right w:w="15" w:type="dxa"/>
            </w:tcMar>
          </w:tcPr>
          <w:p>
            <w:pPr>
              <w:jc w:val="center"/>
            </w:pPr>
            <w:r>
              <w:rPr>
                <w:rFonts w:eastAsia="Times New Roman"/>
                <w:color w:val="000000"/>
                <w:sz w:val="24"/>
              </w:rPr>
              <w:t>5.57%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eastAsia="Times New Roman"/>
                <w:color w:val="000000"/>
                <w:sz w:val="24"/>
              </w:rPr>
              <w:t>6</w:t>
            </w:r>
          </w:p>
        </w:tc>
        <w:tc>
          <w:tcPr>
            <w:tcW w:w="2268" w:type="dxa"/>
            <w:tcMar>
              <w:top w:w="15" w:type="dxa"/>
              <w:left w:w="15" w:type="dxa"/>
              <w:bottom w:w="0" w:type="dxa"/>
              <w:right w:w="15" w:type="dxa"/>
            </w:tcMar>
          </w:tcPr>
          <w:p>
            <w:pPr>
              <w:jc w:val="center"/>
            </w:pPr>
            <w:r>
              <w:rPr>
                <w:rFonts w:eastAsia="Times New Roman"/>
                <w:color w:val="000000"/>
                <w:sz w:val="24"/>
              </w:rPr>
              <w:t>21中信银行CD040</w:t>
            </w:r>
          </w:p>
        </w:tc>
        <w:tc>
          <w:tcPr>
            <w:tcW w:w="2835" w:type="dxa"/>
          </w:tcPr>
          <w:p>
            <w:pPr>
              <w:jc w:val="center"/>
            </w:pPr>
            <w:r>
              <w:rPr>
                <w:rFonts w:eastAsia="Times New Roman"/>
                <w:color w:val="000000"/>
                <w:sz w:val="24"/>
              </w:rPr>
              <w:t>97,010,000.00</w:t>
            </w:r>
          </w:p>
        </w:tc>
        <w:tc>
          <w:tcPr>
            <w:tcW w:w="2835" w:type="dxa"/>
            <w:tcMar>
              <w:top w:w="15" w:type="dxa"/>
              <w:left w:w="15" w:type="dxa"/>
              <w:bottom w:w="0" w:type="dxa"/>
              <w:right w:w="15" w:type="dxa"/>
            </w:tcMar>
          </w:tcPr>
          <w:p>
            <w:pPr>
              <w:jc w:val="center"/>
            </w:pPr>
            <w:r>
              <w:rPr>
                <w:rFonts w:eastAsia="Times New Roman"/>
                <w:color w:val="000000"/>
                <w:sz w:val="24"/>
              </w:rPr>
              <w:t>5.52%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eastAsia="Times New Roman"/>
                <w:color w:val="000000"/>
                <w:sz w:val="24"/>
              </w:rPr>
              <w:t>7</w:t>
            </w:r>
          </w:p>
        </w:tc>
        <w:tc>
          <w:tcPr>
            <w:tcW w:w="2268" w:type="dxa"/>
            <w:tcMar>
              <w:top w:w="15" w:type="dxa"/>
              <w:left w:w="15" w:type="dxa"/>
              <w:bottom w:w="0" w:type="dxa"/>
              <w:right w:w="15" w:type="dxa"/>
            </w:tcMar>
          </w:tcPr>
          <w:p>
            <w:pPr>
              <w:jc w:val="center"/>
            </w:pPr>
            <w:r>
              <w:rPr>
                <w:rFonts w:eastAsia="Times New Roman"/>
                <w:color w:val="000000"/>
                <w:sz w:val="24"/>
              </w:rPr>
              <w:t>14豫铁投MTN001</w:t>
            </w:r>
          </w:p>
        </w:tc>
        <w:tc>
          <w:tcPr>
            <w:tcW w:w="2835" w:type="dxa"/>
          </w:tcPr>
          <w:p>
            <w:pPr>
              <w:jc w:val="center"/>
            </w:pPr>
            <w:r>
              <w:rPr>
                <w:rFonts w:eastAsia="Times New Roman"/>
                <w:color w:val="000000"/>
                <w:sz w:val="24"/>
              </w:rPr>
              <w:t>91,350,000.00</w:t>
            </w:r>
          </w:p>
        </w:tc>
        <w:tc>
          <w:tcPr>
            <w:tcW w:w="2835" w:type="dxa"/>
            <w:tcMar>
              <w:top w:w="15" w:type="dxa"/>
              <w:left w:w="15" w:type="dxa"/>
              <w:bottom w:w="0" w:type="dxa"/>
              <w:right w:w="15" w:type="dxa"/>
            </w:tcMar>
          </w:tcPr>
          <w:p>
            <w:pPr>
              <w:jc w:val="center"/>
            </w:pPr>
            <w:r>
              <w:rPr>
                <w:rFonts w:eastAsia="Times New Roman"/>
                <w:color w:val="000000"/>
                <w:sz w:val="24"/>
              </w:rPr>
              <w:t>5.20%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eastAsia="Times New Roman"/>
                <w:color w:val="000000"/>
                <w:sz w:val="24"/>
              </w:rPr>
              <w:t>8</w:t>
            </w:r>
          </w:p>
        </w:tc>
        <w:tc>
          <w:tcPr>
            <w:tcW w:w="2268" w:type="dxa"/>
            <w:tcMar>
              <w:top w:w="15" w:type="dxa"/>
              <w:left w:w="15" w:type="dxa"/>
              <w:bottom w:w="0" w:type="dxa"/>
              <w:right w:w="15" w:type="dxa"/>
            </w:tcMar>
          </w:tcPr>
          <w:p>
            <w:pPr>
              <w:jc w:val="center"/>
            </w:pPr>
            <w:r>
              <w:rPr>
                <w:rFonts w:eastAsia="Times New Roman"/>
                <w:color w:val="000000"/>
                <w:sz w:val="24"/>
              </w:rPr>
              <w:t>19粤垦投资MTN001</w:t>
            </w:r>
          </w:p>
        </w:tc>
        <w:tc>
          <w:tcPr>
            <w:tcW w:w="2835" w:type="dxa"/>
          </w:tcPr>
          <w:p>
            <w:pPr>
              <w:jc w:val="center"/>
            </w:pPr>
            <w:r>
              <w:rPr>
                <w:rFonts w:eastAsia="Times New Roman"/>
                <w:color w:val="000000"/>
                <w:sz w:val="24"/>
              </w:rPr>
              <w:t>71,085,000.00</w:t>
            </w:r>
          </w:p>
        </w:tc>
        <w:tc>
          <w:tcPr>
            <w:tcW w:w="2835" w:type="dxa"/>
            <w:tcMar>
              <w:top w:w="15" w:type="dxa"/>
              <w:left w:w="15" w:type="dxa"/>
              <w:bottom w:w="0" w:type="dxa"/>
              <w:right w:w="15" w:type="dxa"/>
            </w:tcMar>
          </w:tcPr>
          <w:p>
            <w:pPr>
              <w:jc w:val="center"/>
            </w:pPr>
            <w:r>
              <w:rPr>
                <w:rFonts w:eastAsia="Times New Roman"/>
                <w:color w:val="000000"/>
                <w:sz w:val="24"/>
              </w:rPr>
              <w:t>4.05%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r>
              <w:rPr>
                <w:rFonts w:eastAsia="Times New Roman"/>
                <w:color w:val="000000"/>
                <w:sz w:val="24"/>
              </w:rPr>
              <w:t>9</w:t>
            </w:r>
          </w:p>
        </w:tc>
        <w:tc>
          <w:tcPr>
            <w:tcW w:w="2268" w:type="dxa"/>
            <w:tcMar>
              <w:top w:w="15" w:type="dxa"/>
              <w:left w:w="15" w:type="dxa"/>
              <w:bottom w:w="0" w:type="dxa"/>
              <w:right w:w="15" w:type="dxa"/>
            </w:tcMar>
          </w:tcPr>
          <w:p>
            <w:pPr>
              <w:jc w:val="center"/>
            </w:pPr>
            <w:r>
              <w:rPr>
                <w:rFonts w:eastAsia="Times New Roman"/>
                <w:color w:val="000000"/>
                <w:sz w:val="24"/>
              </w:rPr>
              <w:t>21邯郸交建CP002</w:t>
            </w:r>
          </w:p>
        </w:tc>
        <w:tc>
          <w:tcPr>
            <w:tcW w:w="2835" w:type="dxa"/>
          </w:tcPr>
          <w:p>
            <w:pPr>
              <w:jc w:val="center"/>
            </w:pPr>
            <w:r>
              <w:rPr>
                <w:rFonts w:eastAsia="Times New Roman"/>
                <w:color w:val="000000"/>
                <w:sz w:val="24"/>
              </w:rPr>
              <w:t>70,238,000.00</w:t>
            </w:r>
          </w:p>
        </w:tc>
        <w:tc>
          <w:tcPr>
            <w:tcW w:w="2835" w:type="dxa"/>
            <w:tcMar>
              <w:top w:w="15" w:type="dxa"/>
              <w:left w:w="15" w:type="dxa"/>
              <w:bottom w:w="0" w:type="dxa"/>
              <w:right w:w="15" w:type="dxa"/>
            </w:tcMar>
          </w:tcPr>
          <w:p>
            <w:pPr>
              <w:jc w:val="center"/>
            </w:pPr>
            <w:r>
              <w:rPr>
                <w:rFonts w:eastAsia="Times New Roman"/>
                <w:color w:val="000000"/>
                <w:sz w:val="24"/>
              </w:rPr>
              <w:t>4.00%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c>
          <w:tcPr>
            <w:tcW w:w="1139" w:type="dxa"/>
          </w:tcPr>
          <w:p>
            <w:pPr>
              <w:jc w:val="center"/>
            </w:pPr>
            <w:bookmarkStart w:id="0" w:name="_GoBack" w:colFirst="1" w:colLast="3"/>
            <w:r>
              <w:rPr>
                <w:rFonts w:eastAsia="Times New Roman"/>
                <w:color w:val="000000"/>
                <w:sz w:val="24"/>
              </w:rPr>
              <w:t>10</w:t>
            </w:r>
          </w:p>
        </w:tc>
        <w:tc>
          <w:tcPr>
            <w:tcW w:w="2268" w:type="dxa"/>
            <w:tcMar>
              <w:top w:w="15" w:type="dxa"/>
              <w:left w:w="15" w:type="dxa"/>
              <w:bottom w:w="0" w:type="dxa"/>
              <w:right w:w="15" w:type="dxa"/>
            </w:tcMar>
            <w:vAlign w:val="top"/>
          </w:tcPr>
          <w:p>
            <w:pPr>
              <w:jc w:val="center"/>
              <w:textAlignment w:val="auto"/>
              <w:rPr>
                <w:highlight w:val="yellow"/>
              </w:rPr>
            </w:pPr>
            <w:r>
              <w:rPr>
                <w:rFonts w:ascii="Times New Roman" w:hAnsi="Times New Roman" w:eastAsia="Times New Roman" w:cs="Times New Roman"/>
                <w:b w:val="0"/>
                <w:i w:val="0"/>
                <w:color w:val="000000"/>
                <w:sz w:val="24"/>
                <w:u w:val="none"/>
              </w:rPr>
              <w:t>21国开01</w:t>
            </w:r>
          </w:p>
        </w:tc>
        <w:tc>
          <w:tcPr>
            <w:tcW w:w="2835" w:type="dxa"/>
            <w:vAlign w:val="top"/>
          </w:tcPr>
          <w:p>
            <w:pPr>
              <w:jc w:val="center"/>
              <w:textAlignment w:val="auto"/>
              <w:rPr>
                <w:highlight w:val="yellow"/>
              </w:rPr>
            </w:pPr>
            <w:r>
              <w:rPr>
                <w:rFonts w:ascii="Times New Roman" w:hAnsi="Times New Roman" w:eastAsia="Times New Roman" w:cs="Times New Roman"/>
                <w:b w:val="0"/>
                <w:i w:val="0"/>
                <w:color w:val="000000"/>
                <w:sz w:val="24"/>
                <w:u w:val="none"/>
              </w:rPr>
              <w:t>59,884,563.65</w:t>
            </w:r>
          </w:p>
        </w:tc>
        <w:tc>
          <w:tcPr>
            <w:tcW w:w="2835" w:type="dxa"/>
            <w:tcMar>
              <w:top w:w="15" w:type="dxa"/>
              <w:left w:w="15" w:type="dxa"/>
              <w:bottom w:w="0" w:type="dxa"/>
              <w:right w:w="15" w:type="dxa"/>
            </w:tcMar>
            <w:vAlign w:val="top"/>
          </w:tcPr>
          <w:p>
            <w:pPr>
              <w:jc w:val="center"/>
              <w:textAlignment w:val="auto"/>
              <w:rPr>
                <w:highlight w:val="yellow"/>
              </w:rPr>
            </w:pPr>
            <w:r>
              <w:rPr>
                <w:rFonts w:ascii="Times New Roman" w:hAnsi="Times New Roman" w:eastAsia="Times New Roman" w:cs="Times New Roman"/>
                <w:b w:val="0"/>
                <w:i w:val="0"/>
                <w:color w:val="000000"/>
                <w:sz w:val="24"/>
                <w:u w:val="none"/>
              </w:rPr>
              <w:t>3.41%</w:t>
            </w:r>
          </w:p>
        </w:tc>
      </w:tr>
      <w:bookmarkEnd w:id="0"/>
    </w:tbl>
    <w:p>
      <w:pPr>
        <w:rPr>
          <w:rFonts w:ascii="仿宋_GB2312" w:hAnsi="Calibri" w:eastAsia="仿宋_GB2312"/>
          <w:sz w:val="24"/>
          <w:szCs w:val="24"/>
        </w:rPr>
      </w:pPr>
    </w:p>
    <w:p>
      <w:pPr>
        <w:adjustRightInd w:val="0"/>
        <w:snapToGrid w:val="0"/>
        <w:spacing w:line="360" w:lineRule="auto"/>
        <w:ind w:firstLine="482" w:firstLineChars="200"/>
        <w:rPr>
          <w:rFonts w:ascii="仿宋_GB2312" w:eastAsia="仿宋_GB2312" w:hAnsiTheme="minorEastAsia"/>
          <w:b/>
          <w:bCs/>
          <w:sz w:val="24"/>
          <w:szCs w:val="24"/>
        </w:rPr>
      </w:pPr>
      <w:r>
        <w:rPr>
          <w:rFonts w:ascii="仿宋_GB2312" w:eastAsia="仿宋_GB2312"/>
          <w:b/>
          <w:bCs/>
          <w:sz w:val="24"/>
          <w:szCs w:val="24"/>
        </w:rPr>
        <w:t xml:space="preserve"> </w:t>
      </w:r>
      <w:r>
        <w:rPr>
          <w:rFonts w:ascii="仿宋_GB2312" w:eastAsia="仿宋_GB2312" w:hAnsiTheme="minorEastAsia"/>
          <w:b/>
          <w:bCs/>
          <w:sz w:val="24"/>
          <w:szCs w:val="24"/>
        </w:rPr>
        <w:t>4.4报告期末非标准化债权</w:t>
      </w:r>
      <w:r>
        <w:rPr>
          <w:rStyle w:val="8"/>
          <w:rFonts w:ascii="仿宋_GB2312" w:eastAsia="仿宋_GB2312" w:hAnsiTheme="minorEastAsia"/>
          <w:b/>
          <w:bCs/>
          <w:sz w:val="24"/>
          <w:szCs w:val="24"/>
        </w:rPr>
        <w:footnoteReference w:id="1"/>
      </w:r>
      <w:r>
        <w:rPr>
          <w:rFonts w:hint="eastAsia" w:ascii="仿宋_GB2312" w:eastAsia="仿宋_GB2312" w:hAnsiTheme="minorEastAsia"/>
          <w:b/>
          <w:bCs/>
          <w:sz w:val="24"/>
          <w:szCs w:val="24"/>
        </w:rPr>
        <w:t>投资明细（选填）</w:t>
      </w:r>
    </w:p>
    <w:tbl>
      <w:tblPr>
        <w:tblStyle w:val="9"/>
        <w:tblW w:w="90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134"/>
        <w:gridCol w:w="1312"/>
        <w:gridCol w:w="1382"/>
        <w:gridCol w:w="1419"/>
        <w:gridCol w:w="2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序号</w:t>
            </w:r>
          </w:p>
        </w:tc>
        <w:tc>
          <w:tcPr>
            <w:tcW w:w="1134"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融资客户</w:t>
            </w:r>
          </w:p>
        </w:tc>
        <w:tc>
          <w:tcPr>
            <w:tcW w:w="131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资产名称</w:t>
            </w:r>
          </w:p>
        </w:tc>
        <w:tc>
          <w:tcPr>
            <w:tcW w:w="138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剩余融资期限</w:t>
            </w:r>
          </w:p>
        </w:tc>
        <w:tc>
          <w:tcPr>
            <w:tcW w:w="1419"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交易结构</w:t>
            </w:r>
          </w:p>
        </w:tc>
        <w:tc>
          <w:tcPr>
            <w:tcW w:w="2972" w:type="dxa"/>
            <w:vAlign w:val="center"/>
          </w:tcPr>
          <w:p>
            <w:pPr>
              <w:adjustRightInd w:val="0"/>
              <w:snapToGrid w:val="0"/>
              <w:spacing w:line="360" w:lineRule="auto"/>
              <w:jc w:val="center"/>
              <w:rPr>
                <w:rFonts w:ascii="仿宋_GB2312" w:eastAsia="仿宋_GB2312" w:hAnsiTheme="minorEastAsia"/>
                <w:bCs/>
                <w:sz w:val="24"/>
                <w:szCs w:val="24"/>
              </w:rPr>
            </w:pPr>
            <w:r>
              <w:rPr>
                <w:rFonts w:hint="eastAsia" w:ascii="仿宋_GB2312" w:eastAsia="仿宋_GB2312" w:hAnsiTheme="minorEastAsia"/>
                <w:bCs/>
                <w:sz w:val="24"/>
                <w:szCs w:val="24"/>
              </w:rPr>
              <w:t>占产品资产净值比例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134"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31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38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hAnsi="Calibri" w:eastAsia="仿宋_GB2312" w:cs="宋体"/>
                <w:color w:val="000000"/>
                <w:sz w:val="24"/>
                <w:szCs w:val="24"/>
              </w:rPr>
              <w:t>-</w:t>
            </w:r>
          </w:p>
        </w:tc>
        <w:tc>
          <w:tcPr>
            <w:tcW w:w="1419"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972" w:type="dxa"/>
            <w:vAlign w:val="center"/>
          </w:tcPr>
          <w:p>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pPr>
        <w:adjustRightInd w:val="0"/>
        <w:snapToGrid w:val="0"/>
        <w:spacing w:line="360" w:lineRule="auto"/>
        <w:rPr>
          <w:rFonts w:ascii="仿宋_GB2312" w:eastAsia="仿宋_GB2312" w:hAnsiTheme="minorEastAsia"/>
          <w:bCs/>
          <w:sz w:val="24"/>
          <w:szCs w:val="24"/>
        </w:rPr>
      </w:pPr>
      <w:r>
        <w:rPr>
          <w:rFonts w:hint="eastAsia" w:ascii="仿宋_GB2312" w:eastAsia="仿宋_GB2312" w:hAnsiTheme="minorEastAsia"/>
          <w:bCs/>
          <w:sz w:val="24"/>
          <w:szCs w:val="24"/>
        </w:rPr>
        <w:t>注：</w:t>
      </w:r>
      <w:r>
        <w:rPr>
          <w:rFonts w:ascii="仿宋_GB2312" w:eastAsia="仿宋_GB2312" w:hAnsiTheme="minorEastAsia"/>
          <w:bCs/>
          <w:sz w:val="24"/>
          <w:szCs w:val="24"/>
        </w:rPr>
        <w:t>1.截至期末，上述非标准化债权均按照合同约定按时分配收益；</w:t>
      </w:r>
    </w:p>
    <w:p>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2.截至期末，上述非标准化债权未出现无法履行本金及收益兑付的实际情况。</w:t>
      </w:r>
    </w:p>
    <w:p>
      <w:pPr>
        <w:snapToGrid w:val="0"/>
        <w:spacing w:line="360" w:lineRule="auto"/>
        <w:rPr>
          <w:rFonts w:ascii="仿宋_GB2312" w:eastAsia="仿宋_GB2312"/>
          <w:b/>
          <w:sz w:val="24"/>
          <w:szCs w:val="24"/>
        </w:rPr>
      </w:pPr>
      <w:r>
        <w:rPr>
          <w:rFonts w:hint="eastAsia" w:ascii="仿宋_GB2312" w:eastAsia="仿宋_GB2312"/>
          <w:b/>
          <w:sz w:val="24"/>
          <w:szCs w:val="24"/>
        </w:rPr>
        <w:t>5</w:t>
      </w:r>
      <w:r>
        <w:rPr>
          <w:rFonts w:ascii="仿宋_GB2312" w:eastAsia="仿宋_GB2312"/>
          <w:b/>
          <w:sz w:val="24"/>
          <w:szCs w:val="24"/>
        </w:rPr>
        <w:t> </w:t>
      </w:r>
      <w:r>
        <w:rPr>
          <w:rFonts w:hint="eastAsia" w:ascii="仿宋_GB2312" w:eastAsia="仿宋_GB2312"/>
          <w:b/>
          <w:sz w:val="24"/>
          <w:szCs w:val="24"/>
        </w:rPr>
        <w:t>.关联交易（如有）</w:t>
      </w:r>
    </w:p>
    <w:tbl>
      <w:tblPr>
        <w:tblStyle w:val="1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694"/>
        <w:gridCol w:w="857"/>
        <w:gridCol w:w="1134"/>
        <w:gridCol w:w="1276"/>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sz w:val="24"/>
                <w:szCs w:val="24"/>
              </w:rPr>
            </w:pPr>
            <w:r>
              <w:rPr>
                <w:rFonts w:hint="eastAsia" w:ascii="仿宋_GB2312" w:eastAsia="仿宋_GB2312" w:hAnsiTheme="minorEastAsia"/>
                <w:kern w:val="0"/>
                <w:sz w:val="24"/>
                <w:szCs w:val="24"/>
              </w:rPr>
              <w:t>序号</w:t>
            </w:r>
          </w:p>
        </w:tc>
        <w:tc>
          <w:tcPr>
            <w:tcW w:w="1694"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r>
              <w:rPr>
                <w:rFonts w:hint="eastAsia" w:ascii="仿宋_GB2312" w:eastAsia="仿宋_GB2312" w:hAnsiTheme="minorEastAsia"/>
                <w:kern w:val="0"/>
                <w:sz w:val="24"/>
                <w:szCs w:val="24"/>
              </w:rPr>
              <w:t>关联证券名称</w:t>
            </w:r>
          </w:p>
        </w:tc>
        <w:tc>
          <w:tcPr>
            <w:tcW w:w="857"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r>
              <w:rPr>
                <w:rFonts w:hint="eastAsia" w:ascii="仿宋_GB2312" w:eastAsia="仿宋_GB2312" w:hAnsiTheme="minorEastAsia"/>
                <w:kern w:val="0"/>
                <w:sz w:val="24"/>
                <w:szCs w:val="24"/>
              </w:rPr>
              <w:t>规模</w:t>
            </w:r>
          </w:p>
        </w:tc>
        <w:tc>
          <w:tcPr>
            <w:tcW w:w="1134"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r>
              <w:rPr>
                <w:rFonts w:hint="eastAsia" w:ascii="仿宋_GB2312" w:eastAsia="仿宋_GB2312" w:hAnsiTheme="minorEastAsia"/>
                <w:kern w:val="0"/>
                <w:sz w:val="24"/>
                <w:szCs w:val="24"/>
              </w:rPr>
              <w:t>占比</w:t>
            </w:r>
          </w:p>
        </w:tc>
        <w:tc>
          <w:tcPr>
            <w:tcW w:w="1276"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r>
              <w:rPr>
                <w:rFonts w:hint="eastAsia" w:ascii="仿宋_GB2312" w:eastAsia="仿宋_GB2312" w:hAnsiTheme="minorEastAsia"/>
                <w:kern w:val="0"/>
                <w:sz w:val="24"/>
                <w:szCs w:val="24"/>
              </w:rPr>
              <w:t>关联方名称</w:t>
            </w:r>
          </w:p>
        </w:tc>
        <w:tc>
          <w:tcPr>
            <w:tcW w:w="3118"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center"/>
              <w:rPr>
                <w:rFonts w:ascii="仿宋_GB2312" w:eastAsia="仿宋_GB2312" w:hAnsiTheme="minorEastAsia"/>
                <w:sz w:val="24"/>
                <w:szCs w:val="24"/>
              </w:rPr>
            </w:pPr>
            <w:r>
              <w:rPr>
                <w:rFonts w:hint="eastAsia" w:ascii="仿宋_GB2312" w:eastAsia="仿宋_GB2312" w:hAnsiTheme="minorEastAsia"/>
                <w:kern w:val="0"/>
                <w:sz w:val="24"/>
                <w:szCs w:val="24"/>
              </w:rPr>
              <w:t>关联方与本理财产品关联关系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1</w:t>
            </w:r>
          </w:p>
        </w:tc>
        <w:tc>
          <w:tcPr>
            <w:tcW w:w="1694"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857"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3118"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2</w:t>
            </w:r>
          </w:p>
        </w:tc>
        <w:tc>
          <w:tcPr>
            <w:tcW w:w="1694"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857"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3118"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kinsoku w:val="0"/>
              <w:overflowPunct w:val="0"/>
              <w:autoSpaceDE w:val="0"/>
              <w:autoSpaceDN w:val="0"/>
              <w:spacing w:line="300" w:lineRule="auto"/>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694"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857"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1276"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c>
          <w:tcPr>
            <w:tcW w:w="3118" w:type="dxa"/>
            <w:tcBorders>
              <w:top w:val="single" w:color="auto" w:sz="4" w:space="0"/>
              <w:left w:val="single" w:color="auto" w:sz="4" w:space="0"/>
              <w:bottom w:val="single" w:color="auto" w:sz="4" w:space="0"/>
              <w:right w:val="single" w:color="auto" w:sz="4" w:space="0"/>
            </w:tcBorders>
          </w:tcPr>
          <w:p>
            <w:pPr>
              <w:jc w:val="center"/>
              <w:rPr>
                <w:color w:val="000000" w:themeColor="text1"/>
                <w14:textFill>
                  <w14:solidFill>
                    <w14:schemeClr w14:val="tx1"/>
                  </w14:solidFill>
                </w14:textFill>
              </w:rPr>
            </w:pPr>
            <w:r>
              <w:rPr>
                <w:rFonts w:hint="eastAsia" w:ascii="仿宋_GB2312" w:eastAsia="仿宋_GB2312" w:hAnsiTheme="minorEastAsia"/>
                <w:color w:val="000000" w:themeColor="text1"/>
                <w:kern w:val="0"/>
                <w:sz w:val="24"/>
                <w:szCs w:val="24"/>
                <w14:textFill>
                  <w14:solidFill>
                    <w14:schemeClr w14:val="tx1"/>
                  </w14:solidFill>
                </w14:textFill>
              </w:rPr>
              <w:t>-</w:t>
            </w:r>
          </w:p>
        </w:tc>
      </w:tr>
    </w:tbl>
    <w:p>
      <w:pPr>
        <w:snapToGrid w:val="0"/>
        <w:spacing w:line="360" w:lineRule="auto"/>
        <w:rPr>
          <w:rFonts w:ascii="仿宋_GB2312" w:eastAsia="仿宋_GB2312"/>
          <w:b/>
          <w:sz w:val="24"/>
          <w:szCs w:val="24"/>
          <w:highlight w:val="yellow"/>
        </w:rPr>
      </w:pPr>
    </w:p>
    <w:p>
      <w:pPr>
        <w:snapToGrid w:val="0"/>
        <w:spacing w:line="360" w:lineRule="auto"/>
        <w:rPr>
          <w:rFonts w:ascii="仿宋_GB2312" w:eastAsia="仿宋_GB2312"/>
          <w:b/>
          <w:sz w:val="24"/>
          <w:szCs w:val="24"/>
        </w:rPr>
      </w:pPr>
      <w:r>
        <w:rPr>
          <w:rFonts w:hint="eastAsia" w:ascii="仿宋_GB2312" w:eastAsia="仿宋_GB2312"/>
          <w:b/>
          <w:sz w:val="24"/>
          <w:szCs w:val="24"/>
        </w:rPr>
        <w:t>6</w:t>
      </w:r>
      <w:r>
        <w:rPr>
          <w:rFonts w:ascii="仿宋_GB2312" w:eastAsia="仿宋_GB2312"/>
          <w:b/>
          <w:sz w:val="24"/>
          <w:szCs w:val="24"/>
        </w:rPr>
        <w:t> </w:t>
      </w:r>
      <w:r>
        <w:rPr>
          <w:rFonts w:hint="eastAsia" w:ascii="仿宋_GB2312" w:eastAsia="仿宋_GB2312"/>
          <w:b/>
          <w:sz w:val="24"/>
          <w:szCs w:val="24"/>
        </w:rPr>
        <w:t>.影响投资者决策的其他重要信息</w:t>
      </w:r>
    </w:p>
    <w:p>
      <w:pPr>
        <w:rPr>
          <w:rFonts w:ascii="仿宋_GB2312" w:eastAsia="仿宋_GB2312"/>
          <w:sz w:val="24"/>
          <w:szCs w:val="24"/>
        </w:rPr>
      </w:pPr>
      <w:r>
        <w:rPr>
          <w:rFonts w:hint="eastAsia" w:ascii="仿宋_GB2312" w:eastAsia="仿宋_GB2312"/>
          <w:sz w:val="24"/>
          <w:szCs w:val="24"/>
        </w:rPr>
        <w:t>无。</w:t>
      </w:r>
    </w:p>
    <w:p>
      <w:pPr>
        <w:snapToGrid w:val="0"/>
        <w:spacing w:line="360" w:lineRule="auto"/>
        <w:rPr>
          <w:rFonts w:ascii="仿宋_GB2312" w:eastAsia="仿宋_GB2312"/>
          <w:b/>
          <w:sz w:val="24"/>
          <w:szCs w:val="24"/>
        </w:rPr>
      </w:pPr>
      <w:r>
        <w:rPr>
          <w:rFonts w:hint="eastAsia" w:ascii="仿宋_GB2312" w:eastAsia="仿宋_GB2312"/>
          <w:b/>
          <w:sz w:val="24"/>
          <w:szCs w:val="24"/>
        </w:rPr>
        <w:t>7.托管机构报告</w:t>
      </w:r>
    </w:p>
    <w:p>
      <w:pPr>
        <w:snapToGrid w:val="0"/>
        <w:spacing w:line="360" w:lineRule="auto"/>
        <w:ind w:firstLine="360"/>
        <w:rPr>
          <w:rFonts w:ascii="仿宋_GB2312" w:eastAsia="仿宋_GB2312"/>
          <w:color w:val="000000"/>
          <w:sz w:val="24"/>
          <w:szCs w:val="24"/>
        </w:rPr>
      </w:pPr>
      <w:r>
        <w:rPr>
          <w:rFonts w:hint="eastAsia" w:ascii="仿宋_GB2312" w:eastAsia="仿宋_GB2312"/>
          <w:color w:val="000000"/>
          <w:sz w:val="24"/>
          <w:szCs w:val="24"/>
        </w:rPr>
        <w:t>本报告期内，上海浦东发展银行股份有限公司（以下简称“本托管人”）在对本产品托管过程中，严格遵守《关于规范金融机构资产管理业务的指导意见》（银发〔2018〕106号）、《商业银行理财业务监督管理办法》（银保监会令〔2018〕6号）及其他有关法律法规、产品合同、托管协议的规定，不存在损害产品份额持有人利益的行为，完全尽职尽责地履行了托管人应尽的义务。</w:t>
      </w:r>
    </w:p>
    <w:p>
      <w:pPr>
        <w:snapToGrid w:val="0"/>
        <w:spacing w:line="360" w:lineRule="auto"/>
        <w:ind w:firstLine="360"/>
        <w:rPr>
          <w:rFonts w:ascii="仿宋_GB2312" w:eastAsia="仿宋_GB2312"/>
          <w:color w:val="000000"/>
          <w:sz w:val="24"/>
          <w:szCs w:val="24"/>
        </w:rPr>
      </w:pPr>
      <w:r>
        <w:rPr>
          <w:rFonts w:hint="eastAsia" w:ascii="仿宋_GB2312" w:eastAsia="仿宋_GB2312"/>
          <w:color w:val="000000"/>
          <w:sz w:val="24"/>
          <w:szCs w:val="24"/>
        </w:rPr>
        <w:t>本报告期内，本托管人依照《关于规范金融机构资产管理业务的指导意见》（银发〔2018〕106号）、《商业银行理财业务监督管理办法》（银保监会令〔2018〕6号）及其他有关法律法规、产品合同、托管协议的规定，对本产品的投资运作进行了监督，对本报告中的财务指标、净值表现、投资组合报告等内容进行了认真的复核，未发现产品管理人存在损害产品份额持有人利益的行为。</w:t>
      </w:r>
    </w:p>
    <w:p>
      <w:pPr>
        <w:snapToGrid w:val="0"/>
        <w:spacing w:line="360" w:lineRule="auto"/>
        <w:ind w:firstLine="360"/>
        <w:rPr>
          <w:rFonts w:ascii="仿宋_GB2312" w:eastAsia="仿宋_GB2312"/>
          <w:color w:val="000000"/>
          <w:sz w:val="24"/>
          <w:szCs w:val="24"/>
        </w:rPr>
      </w:pPr>
      <w:r>
        <w:rPr>
          <w:rFonts w:hint="eastAsia" w:ascii="仿宋_GB2312" w:eastAsia="仿宋_GB2312"/>
          <w:color w:val="000000"/>
          <w:sz w:val="24"/>
          <w:szCs w:val="24"/>
        </w:rPr>
        <w:t>本报告期内，由上海浦东发展银行编制的本托管人复核的本报告中的财务指标、净值表现、投资组合报告等内容真实、准确、完整。</w:t>
      </w:r>
    </w:p>
    <w:p>
      <w:pPr>
        <w:rPr>
          <w:rFonts w:ascii="仿宋_GB2312" w:eastAsia="仿宋_GB2312"/>
          <w:sz w:val="24"/>
          <w:szCs w:val="24"/>
        </w:rPr>
      </w:pPr>
    </w:p>
    <w:p>
      <w:pPr>
        <w:snapToGrid w:val="0"/>
        <w:spacing w:line="360" w:lineRule="auto"/>
        <w:rPr>
          <w:rFonts w:ascii="仿宋_GB2312" w:eastAsia="仿宋_GB2312"/>
          <w:b/>
          <w:sz w:val="24"/>
          <w:szCs w:val="24"/>
        </w:rPr>
      </w:pPr>
      <w:r>
        <w:rPr>
          <w:rFonts w:hint="eastAsia" w:ascii="仿宋_GB2312" w:eastAsia="仿宋_GB2312"/>
          <w:b/>
          <w:sz w:val="24"/>
          <w:szCs w:val="24"/>
        </w:rPr>
        <w:t>8.备查文件</w:t>
      </w:r>
    </w:p>
    <w:p>
      <w:pPr>
        <w:snapToGrid w:val="0"/>
        <w:spacing w:line="360" w:lineRule="auto"/>
        <w:ind w:firstLine="480"/>
        <w:rPr>
          <w:rFonts w:ascii="仿宋_GB2312" w:eastAsia="仿宋_GB2312"/>
          <w:b/>
          <w:bCs/>
          <w:color w:val="000000"/>
          <w:sz w:val="24"/>
          <w:szCs w:val="24"/>
        </w:rPr>
      </w:pPr>
      <w:r>
        <w:rPr>
          <w:rFonts w:hint="eastAsia" w:ascii="仿宋_GB2312" w:eastAsia="仿宋_GB2312"/>
          <w:b/>
          <w:bCs/>
          <w:color w:val="000000"/>
          <w:sz w:val="24"/>
          <w:szCs w:val="24"/>
        </w:rPr>
        <w:t>8.1 备查文件目录</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产品说明书</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销售协议</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风险揭示书</w:t>
      </w:r>
    </w:p>
    <w:p>
      <w:pPr>
        <w:snapToGrid w:val="0"/>
        <w:spacing w:line="360" w:lineRule="auto"/>
        <w:ind w:firstLine="600"/>
        <w:rPr>
          <w:rFonts w:ascii="仿宋_GB2312" w:eastAsia="仿宋_GB2312"/>
          <w:color w:val="000000"/>
          <w:sz w:val="24"/>
          <w:szCs w:val="24"/>
        </w:rPr>
      </w:pPr>
      <w:r>
        <w:rPr>
          <w:rFonts w:hint="eastAsia" w:ascii="仿宋_GB2312" w:eastAsia="仿宋_GB2312"/>
          <w:color w:val="000000"/>
          <w:sz w:val="24"/>
          <w:szCs w:val="24"/>
        </w:rPr>
        <w:t>投资者权益须知</w:t>
      </w:r>
    </w:p>
    <w:p>
      <w:pPr>
        <w:snapToGrid w:val="0"/>
        <w:spacing w:line="360" w:lineRule="auto"/>
        <w:ind w:firstLine="480"/>
        <w:rPr>
          <w:rFonts w:ascii="仿宋_GB2312" w:eastAsia="仿宋_GB2312"/>
          <w:b/>
          <w:bCs/>
          <w:color w:val="000000"/>
          <w:sz w:val="24"/>
          <w:szCs w:val="24"/>
        </w:rPr>
      </w:pPr>
      <w:r>
        <w:rPr>
          <w:rFonts w:hint="eastAsia" w:ascii="仿宋_GB2312" w:eastAsia="仿宋_GB2312"/>
          <w:b/>
          <w:bCs/>
          <w:color w:val="000000"/>
          <w:sz w:val="24"/>
          <w:szCs w:val="24"/>
        </w:rPr>
        <w:t>8.2 存放地点</w:t>
      </w:r>
    </w:p>
    <w:p>
      <w:pPr>
        <w:snapToGrid w:val="0"/>
        <w:spacing w:line="360" w:lineRule="auto"/>
        <w:ind w:firstLine="480"/>
        <w:rPr>
          <w:rFonts w:ascii="仿宋_GB2312" w:eastAsia="仿宋_GB2312"/>
          <w:b/>
          <w:bCs/>
          <w:color w:val="000000"/>
          <w:sz w:val="24"/>
          <w:szCs w:val="24"/>
        </w:rPr>
      </w:pPr>
      <w:r>
        <w:rPr>
          <w:rFonts w:hint="eastAsia" w:ascii="仿宋_GB2312" w:eastAsia="仿宋_GB2312"/>
          <w:color w:val="000000"/>
          <w:sz w:val="24"/>
          <w:szCs w:val="24"/>
        </w:rPr>
        <w:t>上海市北京东路689号东银大厦</w:t>
      </w:r>
    </w:p>
    <w:p>
      <w:pPr>
        <w:snapToGrid w:val="0"/>
        <w:spacing w:line="360" w:lineRule="auto"/>
        <w:ind w:firstLine="480"/>
        <w:rPr>
          <w:rFonts w:ascii="仿宋_GB2312" w:eastAsia="仿宋_GB2312"/>
          <w:b/>
          <w:bCs/>
          <w:color w:val="000000"/>
          <w:sz w:val="24"/>
          <w:szCs w:val="24"/>
        </w:rPr>
      </w:pPr>
      <w:r>
        <w:rPr>
          <w:rFonts w:hint="eastAsia" w:ascii="仿宋_GB2312" w:eastAsia="仿宋_GB2312"/>
          <w:b/>
          <w:bCs/>
          <w:color w:val="000000"/>
          <w:sz w:val="24"/>
          <w:szCs w:val="24"/>
        </w:rPr>
        <w:t>8.3 查阅方式</w:t>
      </w:r>
    </w:p>
    <w:p>
      <w:pPr>
        <w:snapToGrid w:val="0"/>
        <w:spacing w:line="360" w:lineRule="auto"/>
        <w:ind w:firstLine="480"/>
        <w:rPr>
          <w:rFonts w:ascii="仿宋_GB2312" w:eastAsia="仿宋_GB2312"/>
          <w:b/>
          <w:bCs/>
          <w:sz w:val="24"/>
          <w:szCs w:val="24"/>
        </w:rPr>
      </w:pPr>
      <w:r>
        <w:rPr>
          <w:rFonts w:hint="eastAsia" w:ascii="仿宋_GB2312" w:eastAsia="仿宋_GB2312"/>
          <w:color w:val="000000"/>
          <w:sz w:val="24"/>
          <w:szCs w:val="24"/>
        </w:rPr>
        <w:t>浦发银行官方网站：</w:t>
      </w:r>
      <w:r>
        <w:fldChar w:fldCharType="begin"/>
      </w:r>
      <w:r>
        <w:instrText xml:space="preserve"> HYPERLINK "http://www.spdb.com.cn/" </w:instrText>
      </w:r>
      <w:r>
        <w:fldChar w:fldCharType="separate"/>
      </w:r>
      <w:r>
        <w:rPr>
          <w:rStyle w:val="7"/>
          <w:rFonts w:hint="eastAsia" w:ascii="仿宋_GB2312" w:eastAsia="仿宋_GB2312"/>
          <w:sz w:val="24"/>
          <w:szCs w:val="24"/>
        </w:rPr>
        <w:t>http://www.spdb.com.cn/</w:t>
      </w:r>
      <w:r>
        <w:rPr>
          <w:rStyle w:val="7"/>
          <w:rFonts w:hint="eastAsia" w:ascii="仿宋_GB2312" w:eastAsia="仿宋_GB2312"/>
          <w:sz w:val="24"/>
          <w:szCs w:val="24"/>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pPr>
      <w:r>
        <w:rPr>
          <w:rStyle w:val="8"/>
        </w:rPr>
        <w:footnoteRef/>
      </w:r>
      <w:r>
        <w:rPr>
          <w:rFonts w:hint="eastAsia"/>
          <w:sz w:val="15"/>
          <w:szCs w:val="15"/>
        </w:rPr>
        <w:t>产品登记编码指本产品在全国银行理财信息登记系统获取的登记编码。</w:t>
      </w:r>
    </w:p>
  </w:footnote>
  <w:footnote w:id="1">
    <w:p>
      <w:pPr>
        <w:pStyle w:val="4"/>
        <w:rPr>
          <w:sz w:val="15"/>
          <w:szCs w:val="15"/>
        </w:rPr>
      </w:pPr>
      <w:r>
        <w:rPr>
          <w:rStyle w:val="8"/>
        </w:rPr>
        <w:footnoteRef/>
      </w:r>
      <w:r>
        <w:rPr>
          <w:rFonts w:hint="eastAsia"/>
        </w:rPr>
        <w:t xml:space="preserve"> </w:t>
      </w:r>
      <w:r>
        <w:rPr>
          <w:rFonts w:hint="eastAsia"/>
          <w:sz w:val="15"/>
          <w:szCs w:val="15"/>
        </w:rPr>
        <w:t>本报告所称非标准化债权资产，指根据《关于规范金融机构资产管理业务的指导意见》（银发〔2018〕106号）规定，标准化债权类资产之外的债权类资产。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262"/>
    <w:rsid w:val="00023644"/>
    <w:rsid w:val="00077F23"/>
    <w:rsid w:val="00083731"/>
    <w:rsid w:val="00103449"/>
    <w:rsid w:val="00130728"/>
    <w:rsid w:val="001814DB"/>
    <w:rsid w:val="00210A82"/>
    <w:rsid w:val="00211495"/>
    <w:rsid w:val="00213ECF"/>
    <w:rsid w:val="00274D37"/>
    <w:rsid w:val="002B330E"/>
    <w:rsid w:val="00366AC8"/>
    <w:rsid w:val="00367DBF"/>
    <w:rsid w:val="00380BE2"/>
    <w:rsid w:val="003B6DED"/>
    <w:rsid w:val="003F480F"/>
    <w:rsid w:val="00400A77"/>
    <w:rsid w:val="0041011E"/>
    <w:rsid w:val="0041666B"/>
    <w:rsid w:val="0042245C"/>
    <w:rsid w:val="00442040"/>
    <w:rsid w:val="0048092C"/>
    <w:rsid w:val="004E272F"/>
    <w:rsid w:val="004F1E95"/>
    <w:rsid w:val="00504EC0"/>
    <w:rsid w:val="00564E1C"/>
    <w:rsid w:val="0058623B"/>
    <w:rsid w:val="00590102"/>
    <w:rsid w:val="005B0E63"/>
    <w:rsid w:val="006304A5"/>
    <w:rsid w:val="006E00B8"/>
    <w:rsid w:val="007167B6"/>
    <w:rsid w:val="00781652"/>
    <w:rsid w:val="007D042E"/>
    <w:rsid w:val="007E2254"/>
    <w:rsid w:val="008351F2"/>
    <w:rsid w:val="008579C9"/>
    <w:rsid w:val="008D4921"/>
    <w:rsid w:val="009027FB"/>
    <w:rsid w:val="0093653B"/>
    <w:rsid w:val="00973891"/>
    <w:rsid w:val="009B6B6E"/>
    <w:rsid w:val="009F0B98"/>
    <w:rsid w:val="00A7331C"/>
    <w:rsid w:val="00A768E1"/>
    <w:rsid w:val="00B2798E"/>
    <w:rsid w:val="00B9403A"/>
    <w:rsid w:val="00BB17CD"/>
    <w:rsid w:val="00C2222B"/>
    <w:rsid w:val="00C542D2"/>
    <w:rsid w:val="00CA6A9F"/>
    <w:rsid w:val="00D170C5"/>
    <w:rsid w:val="00D37F3B"/>
    <w:rsid w:val="00D601E1"/>
    <w:rsid w:val="00D8266B"/>
    <w:rsid w:val="00DC25F6"/>
    <w:rsid w:val="00DD0D5E"/>
    <w:rsid w:val="00DE1F30"/>
    <w:rsid w:val="00DE496A"/>
    <w:rsid w:val="00E61C1A"/>
    <w:rsid w:val="00E63347"/>
    <w:rsid w:val="00E771D0"/>
    <w:rsid w:val="00F864D2"/>
    <w:rsid w:val="00FB1262"/>
    <w:rsid w:val="00FB4D10"/>
    <w:rsid w:val="00FC64B6"/>
    <w:rsid w:val="010F183C"/>
    <w:rsid w:val="14B40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lang w:val="en-US" w:eastAsia="zh-CN" w:bidi="ar-SA"/>
    </w:rPr>
  </w:style>
  <w:style w:type="character" w:default="1" w:styleId="6">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2"/>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11"/>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footnote text"/>
    <w:basedOn w:val="1"/>
    <w:link w:val="13"/>
    <w:semiHidden/>
    <w:qFormat/>
    <w:uiPriority w:val="99"/>
    <w:pPr>
      <w:snapToGrid w:val="0"/>
      <w:jc w:val="left"/>
    </w:pPr>
    <w:rPr>
      <w:rFonts w:eastAsia="宋体"/>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character" w:styleId="7">
    <w:name w:val="Hyperlink"/>
    <w:basedOn w:val="6"/>
    <w:semiHidden/>
    <w:unhideWhenUsed/>
    <w:qFormat/>
    <w:uiPriority w:val="99"/>
    <w:rPr>
      <w:color w:val="0000FF"/>
      <w:u w:val="single"/>
    </w:rPr>
  </w:style>
  <w:style w:type="character" w:styleId="8">
    <w:name w:val="footnote reference"/>
    <w:semiHidden/>
    <w:qFormat/>
    <w:uiPriority w:val="99"/>
    <w:rPr>
      <w:vertAlign w:val="superscript"/>
    </w:rPr>
  </w:style>
  <w:style w:type="table" w:styleId="10">
    <w:name w:val="Table Grid"/>
    <w:basedOn w:val="9"/>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Char"/>
    <w:basedOn w:val="6"/>
    <w:link w:val="3"/>
    <w:uiPriority w:val="99"/>
    <w:rPr>
      <w:sz w:val="18"/>
      <w:szCs w:val="18"/>
    </w:rPr>
  </w:style>
  <w:style w:type="character" w:customStyle="1" w:styleId="12">
    <w:name w:val="页脚 Char"/>
    <w:basedOn w:val="6"/>
    <w:link w:val="2"/>
    <w:uiPriority w:val="99"/>
    <w:rPr>
      <w:sz w:val="18"/>
      <w:szCs w:val="18"/>
    </w:rPr>
  </w:style>
  <w:style w:type="character" w:customStyle="1" w:styleId="13">
    <w:name w:val="脚注文本 Char"/>
    <w:basedOn w:val="6"/>
    <w:link w:val="4"/>
    <w:semiHidden/>
    <w:qFormat/>
    <w:uiPriority w:val="99"/>
    <w:rPr>
      <w:rFonts w:ascii="Times New Roman" w:hAnsi="Times New Roman" w:eastAsia="宋体" w:cs="Times New Roman"/>
      <w:sz w:val="18"/>
      <w:szCs w:val="18"/>
    </w:rPr>
  </w:style>
  <w:style w:type="paragraph" w:customStyle="1" w:styleId="14">
    <w:name w:val="xl3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366</Words>
  <Characters>2090</Characters>
  <Lines>17</Lines>
  <Paragraphs>4</Paragraphs>
  <TotalTime>1</TotalTime>
  <ScaleCrop>false</ScaleCrop>
  <LinksUpToDate>false</LinksUpToDate>
  <CharactersWithSpaces>2452</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2021-04-12T07:59:00Z</dcterms:created>
  <dc:creator>DEVVDI02</dc:creator>
  <cp:lastModifiedBy>user</cp:lastModifiedBy>
  <dcterms:modified xsi:type="dcterms:W3CDTF">2021-04-13T01:11:20Z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