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6"/>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6"/>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浦发银行鑫盈利系列365天之同业专属理财计划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2301192510</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10"/>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C1031019B000002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2019-04-26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773,637,925.24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2301192510 : 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中等风险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报告期（2021-01-01至2021-03-31）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2301192510 : 839,358,956.86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6"/>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10,158,903.26</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828,056,400.00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98.65%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14,360,685.52</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852,575,988.78</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101.57%</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adjustRightInd w:val="0"/>
        <w:snapToGrid w:val="0"/>
        <w:spacing w:line="360" w:lineRule="auto"/>
        <w:ind w:firstLine="480" w:firstLineChars="200"/>
        <w:jc w:val="left"/>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投资策略以配置中短久期的高等级信用债为主,适当杠杆增厚收益，相机配置长久期利率债挖掘超额收益。</w:t>
      </w:r>
    </w:p>
    <w:p>
      <w:pPr>
        <w:rPr>
          <w:rFonts w:ascii="仿宋_GB2312" w:hAnsi="Calibri" w:eastAsia="仿宋_GB2312"/>
          <w:sz w:val="24"/>
          <w:szCs w:val="24"/>
        </w:rPr>
      </w:pPr>
      <w:bookmarkStart w:id="0" w:name="_GoBack"/>
      <w:bookmarkEnd w:id="0"/>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6"/>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18江北产投MTN003</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80,984,000.00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20富阳城投PPN001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80,632,000.00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9.61%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19新建元PPN001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80,528,000.00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9.59%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20晋煤CP007</w:t>
            </w:r>
          </w:p>
        </w:tc>
        <w:tc>
          <w:tcPr>
            <w:tcW w:w="2835" w:type="dxa"/>
          </w:tcPr>
          <w:p>
            <w:pPr>
              <w:jc w:val="center"/>
              <w:textAlignment w:val="auto"/>
            </w:pPr>
            <w:r>
              <w:rPr>
                <w:rFonts w:ascii="Times New Roman" w:hAnsi="Times New Roman" w:eastAsia="Times New Roman" w:cs="Times New Roman"/>
                <w:b w:val="0"/>
                <w:i w:val="0"/>
                <w:color w:val="000000"/>
                <w:sz w:val="24"/>
                <w:u w:val="none"/>
              </w:rPr>
              <w:t>79,768,000.00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9.50%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19陕煤债01</w:t>
            </w:r>
          </w:p>
        </w:tc>
        <w:tc>
          <w:tcPr>
            <w:tcW w:w="2835" w:type="dxa"/>
          </w:tcPr>
          <w:p>
            <w:pPr>
              <w:jc w:val="center"/>
              <w:textAlignment w:val="auto"/>
            </w:pPr>
            <w:r>
              <w:rPr>
                <w:rFonts w:ascii="Times New Roman" w:hAnsi="Times New Roman" w:eastAsia="Times New Roman" w:cs="Times New Roman"/>
                <w:b w:val="0"/>
                <w:i w:val="0"/>
                <w:color w:val="000000"/>
                <w:sz w:val="24"/>
                <w:u w:val="none"/>
              </w:rPr>
              <w:t>79,672,000.00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9.49%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18中交房产MTN002</w:t>
            </w:r>
          </w:p>
        </w:tc>
        <w:tc>
          <w:tcPr>
            <w:tcW w:w="2835" w:type="dxa"/>
          </w:tcPr>
          <w:p>
            <w:pPr>
              <w:jc w:val="center"/>
              <w:textAlignment w:val="auto"/>
            </w:pPr>
            <w:r>
              <w:rPr>
                <w:rFonts w:ascii="Times New Roman" w:hAnsi="Times New Roman" w:eastAsia="Times New Roman" w:cs="Times New Roman"/>
                <w:b w:val="0"/>
                <w:i w:val="0"/>
                <w:color w:val="000000"/>
                <w:sz w:val="24"/>
                <w:u w:val="none"/>
              </w:rPr>
              <w:t>70,784,000.00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20青岛城乡PPN001</w:t>
            </w:r>
          </w:p>
        </w:tc>
        <w:tc>
          <w:tcPr>
            <w:tcW w:w="2835" w:type="dxa"/>
          </w:tcPr>
          <w:p>
            <w:pPr>
              <w:jc w:val="center"/>
              <w:textAlignment w:val="auto"/>
            </w:pPr>
            <w:r>
              <w:rPr>
                <w:rFonts w:ascii="Times New Roman" w:hAnsi="Times New Roman" w:eastAsia="Times New Roman" w:cs="Times New Roman"/>
                <w:b w:val="0"/>
                <w:i w:val="0"/>
                <w:color w:val="000000"/>
                <w:sz w:val="24"/>
                <w:u w:val="none"/>
              </w:rPr>
              <w:t>53,740,500.00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18郑州公宅PPN001</w:t>
            </w:r>
          </w:p>
        </w:tc>
        <w:tc>
          <w:tcPr>
            <w:tcW w:w="2835" w:type="dxa"/>
          </w:tcPr>
          <w:p>
            <w:pPr>
              <w:jc w:val="center"/>
              <w:textAlignment w:val="auto"/>
            </w:pPr>
            <w:r>
              <w:rPr>
                <w:rFonts w:ascii="Times New Roman" w:hAnsi="Times New Roman" w:eastAsia="Times New Roman" w:cs="Times New Roman"/>
                <w:b w:val="0"/>
                <w:i w:val="0"/>
                <w:color w:val="000000"/>
                <w:sz w:val="24"/>
                <w:u w:val="none"/>
              </w:rPr>
              <w:t>50,580,000.00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20农发03</w:t>
            </w:r>
          </w:p>
        </w:tc>
        <w:tc>
          <w:tcPr>
            <w:tcW w:w="2835" w:type="dxa"/>
          </w:tcPr>
          <w:p>
            <w:pPr>
              <w:jc w:val="center"/>
              <w:textAlignment w:val="auto"/>
            </w:pPr>
            <w:r>
              <w:rPr>
                <w:rFonts w:ascii="Times New Roman" w:hAnsi="Times New Roman" w:eastAsia="Times New Roman" w:cs="Times New Roman"/>
                <w:b w:val="0"/>
                <w:i w:val="0"/>
                <w:color w:val="000000"/>
                <w:sz w:val="24"/>
                <w:u w:val="none"/>
              </w:rPr>
              <w:t>49,965,000.00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17华发集团MTN002</w:t>
            </w:r>
          </w:p>
        </w:tc>
        <w:tc>
          <w:tcPr>
            <w:tcW w:w="2835" w:type="dxa"/>
          </w:tcPr>
          <w:p>
            <w:pPr>
              <w:jc w:val="center"/>
              <w:textAlignment w:val="auto"/>
            </w:pPr>
            <w:r>
              <w:rPr>
                <w:rFonts w:ascii="Times New Roman" w:hAnsi="Times New Roman" w:eastAsia="Times New Roman" w:cs="Times New Roman"/>
                <w:b w:val="0"/>
                <w:i w:val="0"/>
                <w:color w:val="000000"/>
                <w:sz w:val="24"/>
                <w:u w:val="none"/>
              </w:rPr>
              <w:t>41,436,000.00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4.94%</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10"/>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6"/>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9"/>
          <w:rFonts w:hint="eastAsia" w:ascii="仿宋_GB2312" w:eastAsia="仿宋_GB2312"/>
          <w:sz w:val="24"/>
          <w:szCs w:val="24"/>
        </w:rPr>
        <w:t>http://www.spdb.com.cn/</w:t>
      </w:r>
      <w:r>
        <w:rPr>
          <w:rStyle w:val="9"/>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10"/>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10"/>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6524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styleId="10">
    <w:name w:val="footnote reference"/>
    <w:semiHidden/>
    <w:qFormat/>
    <w:uiPriority w:val="99"/>
    <w:rPr>
      <w:vertAlign w:val="superscript"/>
    </w:rPr>
  </w:style>
  <w:style w:type="character" w:customStyle="1" w:styleId="11">
    <w:name w:val="页眉 Char"/>
    <w:basedOn w:val="8"/>
    <w:link w:val="3"/>
    <w:qFormat/>
    <w:uiPriority w:val="99"/>
    <w:rPr>
      <w:sz w:val="18"/>
      <w:szCs w:val="18"/>
    </w:rPr>
  </w:style>
  <w:style w:type="character" w:customStyle="1" w:styleId="12">
    <w:name w:val="页脚 Char"/>
    <w:basedOn w:val="8"/>
    <w:link w:val="2"/>
    <w:qFormat/>
    <w:uiPriority w:val="99"/>
    <w:rPr>
      <w:sz w:val="18"/>
      <w:szCs w:val="18"/>
    </w:rPr>
  </w:style>
  <w:style w:type="character" w:customStyle="1" w:styleId="13">
    <w:name w:val="脚注文本 Char"/>
    <w:basedOn w:val="8"/>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0</TotalTime>
  <ScaleCrop>false</ScaleCrop>
  <LinksUpToDate>false</LinksUpToDate>
  <CharactersWithSpaces>2670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Admin</cp:lastModifiedBy>
  <dcterms:modified xsi:type="dcterms:W3CDTF">2021-04-01T10:06:14Z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