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2022-06-20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17.98%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6.04%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51.04%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10.81%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流通股股票质押(场内)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0.46%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3.56%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8.53%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1.59%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