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96" w:rsidRDefault="00613949">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897D96" w:rsidRDefault="00613949">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897D96">
        <w:trPr>
          <w:trHeight w:val="2514"/>
        </w:trPr>
        <w:tc>
          <w:tcPr>
            <w:tcW w:w="9072" w:type="dxa"/>
            <w:tcMar>
              <w:top w:w="0" w:type="dxa"/>
              <w:left w:w="108" w:type="dxa"/>
              <w:bottom w:w="0" w:type="dxa"/>
              <w:right w:w="108" w:type="dxa"/>
            </w:tcMar>
          </w:tcPr>
          <w:p w:rsidR="00897D96" w:rsidRDefault="00613949">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897D96" w:rsidRDefault="00613949">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897D96" w:rsidRDefault="00613949">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897D96" w:rsidRDefault="00613949">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897D96" w:rsidRDefault="00613949">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897D96" w:rsidRDefault="00613949">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897D96">
        <w:tc>
          <w:tcPr>
            <w:tcW w:w="4219" w:type="dxa"/>
            <w:tcMar>
              <w:top w:w="0" w:type="dxa"/>
              <w:left w:w="108" w:type="dxa"/>
              <w:bottom w:w="0" w:type="dxa"/>
              <w:right w:w="108" w:type="dxa"/>
            </w:tcMar>
            <w:vAlign w:val="center"/>
          </w:tcPr>
          <w:p w:rsidR="00897D96" w:rsidRDefault="00613949">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897D96" w:rsidRDefault="0061394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w:t>
            </w:r>
            <w:proofErr w:type="gramStart"/>
            <w:r>
              <w:rPr>
                <w:rFonts w:ascii="仿宋_GB2312" w:eastAsia="仿宋_GB2312" w:hAnsi="Calibri" w:cs="宋体"/>
                <w:color w:val="000000"/>
                <w:sz w:val="24"/>
                <w:szCs w:val="24"/>
              </w:rPr>
              <w:t>银行天添鑫</w:t>
            </w:r>
            <w:proofErr w:type="gramEnd"/>
            <w:r>
              <w:rPr>
                <w:rFonts w:ascii="仿宋_GB2312" w:eastAsia="仿宋_GB2312" w:hAnsi="Calibri" w:cs="宋体"/>
                <w:color w:val="000000"/>
                <w:sz w:val="24"/>
                <w:szCs w:val="24"/>
              </w:rPr>
              <w:t>中短债理财产品</w:t>
            </w:r>
          </w:p>
        </w:tc>
      </w:tr>
      <w:tr w:rsidR="00897D96">
        <w:tblPrEx>
          <w:tblBorders>
            <w:bottom w:val="single" w:sz="4"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897D96" w:rsidRDefault="0061394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2301202537(销售代码:2301202818/2301202824/2301202825/2301202826)</w:t>
            </w:r>
          </w:p>
        </w:tc>
      </w:tr>
      <w:tr w:rsidR="00897D96">
        <w:tblPrEx>
          <w:tblBorders>
            <w:top w:val="none" w:sz="0"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8"/>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897D96" w:rsidRDefault="0061394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C1031020000067</w:t>
            </w:r>
          </w:p>
        </w:tc>
      </w:tr>
      <w:tr w:rsidR="00897D96">
        <w:tblPrEx>
          <w:tblBorders>
            <w:bottom w:val="single" w:sz="4"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897D96" w:rsidRDefault="0061394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897D96">
        <w:tblPrEx>
          <w:tblBorders>
            <w:bottom w:val="single" w:sz="4"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897D96" w:rsidRDefault="0061394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2020-06-10</w:t>
            </w:r>
          </w:p>
        </w:tc>
      </w:tr>
      <w:tr w:rsidR="00897D96">
        <w:tblPrEx>
          <w:tblBorders>
            <w:bottom w:val="single" w:sz="4"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897D96" w:rsidRDefault="0061394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267,503,041.92</w:t>
            </w:r>
          </w:p>
        </w:tc>
      </w:tr>
      <w:tr w:rsidR="00897D96">
        <w:tblPrEx>
          <w:tblBorders>
            <w:bottom w:val="single" w:sz="4"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897D96" w:rsidRDefault="0061394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121.23%</w:t>
            </w:r>
          </w:p>
        </w:tc>
      </w:tr>
      <w:tr w:rsidR="00897D96">
        <w:tblPrEx>
          <w:tblBorders>
            <w:bottom w:val="single" w:sz="4"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897D96" w:rsidRDefault="00613949">
            <w:pPr>
              <w:widowControl/>
              <w:jc w:val="center"/>
              <w:rPr>
                <w:rFonts w:ascii="仿宋_GB2312" w:eastAsia="仿宋_GB2312" w:hAnsiTheme="minorEastAsia" w:cs="宋体"/>
                <w:color w:val="000000"/>
                <w:sz w:val="24"/>
                <w:szCs w:val="24"/>
              </w:rPr>
            </w:pPr>
            <w:r w:rsidRPr="003A1996">
              <w:rPr>
                <w:rFonts w:ascii="仿宋_GB2312" w:eastAsia="仿宋_GB2312" w:hAnsi="Calibri" w:cs="宋体" w:hint="eastAsia"/>
                <w:color w:val="000000"/>
                <w:sz w:val="24"/>
                <w:szCs w:val="24"/>
              </w:rPr>
              <w:t>中债-综合财富(一年以下)指数收益率</w:t>
            </w:r>
          </w:p>
        </w:tc>
      </w:tr>
      <w:tr w:rsidR="00897D96">
        <w:tblPrEx>
          <w:tblBorders>
            <w:bottom w:val="single" w:sz="4"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897D96" w:rsidRDefault="0061394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897D96">
        <w:tblPrEx>
          <w:tblBorders>
            <w:bottom w:val="single" w:sz="4"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897D96" w:rsidRDefault="0061394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897D96">
        <w:tblPrEx>
          <w:tblBorders>
            <w:bottom w:val="single" w:sz="4" w:space="0" w:color="auto"/>
          </w:tblBorders>
        </w:tblPrEx>
        <w:tc>
          <w:tcPr>
            <w:tcW w:w="4219" w:type="dxa"/>
            <w:tcMar>
              <w:top w:w="0" w:type="dxa"/>
              <w:left w:w="108" w:type="dxa"/>
              <w:bottom w:w="0" w:type="dxa"/>
              <w:right w:w="108" w:type="dxa"/>
            </w:tcMar>
            <w:vAlign w:val="center"/>
          </w:tcPr>
          <w:p w:rsidR="00897D96" w:rsidRDefault="0061394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897D96" w:rsidRDefault="0061394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897D96" w:rsidRDefault="00897D96">
      <w:pPr>
        <w:rPr>
          <w:rFonts w:ascii="仿宋_GB2312" w:eastAsia="仿宋_GB2312" w:hAnsi="Calibri"/>
          <w:sz w:val="24"/>
          <w:szCs w:val="24"/>
        </w:rPr>
      </w:pPr>
    </w:p>
    <w:p w:rsidR="00897D96" w:rsidRDefault="00613949">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897D96" w:rsidRDefault="00613949">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lastRenderedPageBreak/>
        <w:t>3.1 净值表现</w:t>
      </w:r>
    </w:p>
    <w:p w:rsidR="00897D96" w:rsidRDefault="00613949">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9"/>
        <w:tblW w:w="9072" w:type="dxa"/>
        <w:tblLayout w:type="fixed"/>
        <w:tblLook w:val="04A0" w:firstRow="1" w:lastRow="0" w:firstColumn="1" w:lastColumn="0" w:noHBand="0" w:noVBand="1"/>
      </w:tblPr>
      <w:tblGrid>
        <w:gridCol w:w="4361"/>
        <w:gridCol w:w="4711"/>
      </w:tblGrid>
      <w:tr w:rsidR="00897D96">
        <w:tc>
          <w:tcPr>
            <w:tcW w:w="4361" w:type="dxa"/>
          </w:tcPr>
          <w:p w:rsidR="00897D96" w:rsidRDefault="00613949">
            <w:pPr>
              <w:pStyle w:val="a6"/>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897D96" w:rsidRDefault="00613949">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报告期（2020-07-01至2020-09-30）</w:t>
            </w:r>
          </w:p>
        </w:tc>
      </w:tr>
      <w:tr w:rsidR="00897D96">
        <w:tc>
          <w:tcPr>
            <w:tcW w:w="4361" w:type="dxa"/>
          </w:tcPr>
          <w:p w:rsidR="00897D96" w:rsidRDefault="00613949">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897D96" w:rsidRDefault="00613949">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2301202818 : 45,214,022.67</w:t>
            </w:r>
            <w:r>
              <w:rPr>
                <w:rFonts w:ascii="仿宋_GB2312" w:eastAsia="仿宋_GB2312" w:hAnsi="Calibri" w:cs="宋体"/>
                <w:color w:val="000000"/>
                <w:kern w:val="0"/>
                <w:sz w:val="24"/>
                <w:szCs w:val="24"/>
              </w:rPr>
              <w:br/>
              <w:t>2301202824 : 82,909,040.91</w:t>
            </w:r>
            <w:r>
              <w:rPr>
                <w:rFonts w:ascii="仿宋_GB2312" w:eastAsia="仿宋_GB2312" w:hAnsi="Calibri" w:cs="宋体"/>
                <w:color w:val="000000"/>
                <w:kern w:val="0"/>
                <w:sz w:val="24"/>
                <w:szCs w:val="24"/>
              </w:rPr>
              <w:br/>
              <w:t>2301202825 : 69,689,387.75</w:t>
            </w:r>
            <w:r>
              <w:rPr>
                <w:rFonts w:ascii="仿宋_GB2312" w:eastAsia="仿宋_GB2312" w:hAnsi="Calibri" w:cs="宋体"/>
                <w:color w:val="000000"/>
                <w:kern w:val="0"/>
                <w:sz w:val="24"/>
                <w:szCs w:val="24"/>
              </w:rPr>
              <w:br/>
              <w:t>2301202826 : 71,491,980.81</w:t>
            </w:r>
          </w:p>
        </w:tc>
      </w:tr>
      <w:tr w:rsidR="00897D96">
        <w:trPr>
          <w:trHeight w:val="158"/>
        </w:trPr>
        <w:tc>
          <w:tcPr>
            <w:tcW w:w="4361" w:type="dxa"/>
          </w:tcPr>
          <w:p w:rsidR="00897D96" w:rsidRDefault="00613949">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897D96" w:rsidRDefault="00613949">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2301202818 : 1.0092</w:t>
            </w:r>
            <w:r>
              <w:rPr>
                <w:rFonts w:ascii="仿宋_GB2312" w:eastAsia="仿宋_GB2312" w:hAnsi="Calibri" w:cs="宋体"/>
                <w:color w:val="000000"/>
                <w:kern w:val="0"/>
                <w:sz w:val="24"/>
                <w:szCs w:val="24"/>
              </w:rPr>
              <w:br/>
              <w:t>2301202824 : 1.0055</w:t>
            </w:r>
            <w:r>
              <w:rPr>
                <w:rFonts w:ascii="仿宋_GB2312" w:eastAsia="仿宋_GB2312" w:hAnsi="Calibri" w:cs="宋体"/>
                <w:color w:val="000000"/>
                <w:kern w:val="0"/>
                <w:sz w:val="24"/>
                <w:szCs w:val="24"/>
              </w:rPr>
              <w:br/>
              <w:t>2301202825 : 1.0056</w:t>
            </w:r>
            <w:r>
              <w:rPr>
                <w:rFonts w:ascii="仿宋_GB2312" w:eastAsia="仿宋_GB2312" w:hAnsi="Calibri" w:cs="宋体"/>
                <w:color w:val="000000"/>
                <w:kern w:val="0"/>
                <w:sz w:val="24"/>
                <w:szCs w:val="24"/>
              </w:rPr>
              <w:br/>
              <w:t>2301202826 : 1.0077</w:t>
            </w:r>
          </w:p>
        </w:tc>
      </w:tr>
      <w:tr w:rsidR="00897D96">
        <w:trPr>
          <w:trHeight w:val="158"/>
        </w:trPr>
        <w:tc>
          <w:tcPr>
            <w:tcW w:w="4361" w:type="dxa"/>
          </w:tcPr>
          <w:p w:rsidR="00897D96" w:rsidRDefault="00613949">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897D96" w:rsidRDefault="00613949">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2301202818 : 1.0092</w:t>
            </w:r>
            <w:r>
              <w:rPr>
                <w:rFonts w:ascii="仿宋_GB2312" w:eastAsia="仿宋_GB2312" w:hAnsi="Calibri" w:cs="宋体"/>
                <w:color w:val="000000"/>
                <w:kern w:val="0"/>
                <w:sz w:val="24"/>
                <w:szCs w:val="24"/>
              </w:rPr>
              <w:br/>
              <w:t>2301202824 : 1.0055</w:t>
            </w:r>
            <w:r>
              <w:rPr>
                <w:rFonts w:ascii="仿宋_GB2312" w:eastAsia="仿宋_GB2312" w:hAnsi="Calibri" w:cs="宋体"/>
                <w:color w:val="000000"/>
                <w:kern w:val="0"/>
                <w:sz w:val="24"/>
                <w:szCs w:val="24"/>
              </w:rPr>
              <w:br/>
              <w:t>2301202825 : 1.0056</w:t>
            </w:r>
            <w:r>
              <w:rPr>
                <w:rFonts w:ascii="仿宋_GB2312" w:eastAsia="仿宋_GB2312" w:hAnsi="Calibri" w:cs="宋体"/>
                <w:color w:val="000000"/>
                <w:kern w:val="0"/>
                <w:sz w:val="24"/>
                <w:szCs w:val="24"/>
              </w:rPr>
              <w:br/>
              <w:t>2301202826 : 1.0077</w:t>
            </w:r>
          </w:p>
        </w:tc>
      </w:tr>
      <w:tr w:rsidR="00897D96">
        <w:trPr>
          <w:trHeight w:val="158"/>
        </w:trPr>
        <w:tc>
          <w:tcPr>
            <w:tcW w:w="4361" w:type="dxa"/>
          </w:tcPr>
          <w:p w:rsidR="00897D96" w:rsidRDefault="00613949">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897D96" w:rsidRDefault="00613949">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897D96">
        <w:trPr>
          <w:trHeight w:val="158"/>
        </w:trPr>
        <w:tc>
          <w:tcPr>
            <w:tcW w:w="4361" w:type="dxa"/>
            <w:tcMar>
              <w:top w:w="0" w:type="dxa"/>
              <w:left w:w="108" w:type="dxa"/>
              <w:bottom w:w="0" w:type="dxa"/>
              <w:right w:w="108" w:type="dxa"/>
            </w:tcMar>
          </w:tcPr>
          <w:p w:rsidR="00897D96" w:rsidRDefault="00613949">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897D96" w:rsidRDefault="00613949">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897D96" w:rsidRDefault="00613949">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897D96" w:rsidRDefault="00613949">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897D96" w:rsidRDefault="00897D96">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897D96">
        <w:trPr>
          <w:trHeight w:val="415"/>
        </w:trPr>
        <w:tc>
          <w:tcPr>
            <w:tcW w:w="1281" w:type="dxa"/>
            <w:vAlign w:val="center"/>
          </w:tcPr>
          <w:p w:rsidR="00897D96" w:rsidRDefault="0061394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897D96" w:rsidRDefault="0061394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897D96" w:rsidRDefault="0061394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897D96" w:rsidRDefault="0061394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897D96">
        <w:trPr>
          <w:trHeight w:val="20"/>
        </w:trPr>
        <w:tc>
          <w:tcPr>
            <w:tcW w:w="1281" w:type="dxa"/>
            <w:vAlign w:val="center"/>
          </w:tcPr>
          <w:p w:rsidR="00897D96" w:rsidRDefault="0061394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897D96" w:rsidRDefault="0061394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897D96" w:rsidRDefault="0061394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555,956.49</w:t>
            </w:r>
          </w:p>
        </w:tc>
        <w:tc>
          <w:tcPr>
            <w:tcW w:w="2477" w:type="dxa"/>
            <w:vAlign w:val="center"/>
          </w:tcPr>
          <w:p w:rsidR="00897D96" w:rsidRDefault="0061394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0.21%</w:t>
            </w:r>
          </w:p>
        </w:tc>
      </w:tr>
      <w:tr w:rsidR="00897D96">
        <w:tc>
          <w:tcPr>
            <w:tcW w:w="1281" w:type="dxa"/>
            <w:vAlign w:val="center"/>
          </w:tcPr>
          <w:p w:rsidR="00897D96" w:rsidRDefault="00613949">
            <w:pPr>
              <w:jc w:val="center"/>
            </w:pPr>
            <w:r>
              <w:rPr>
                <w:rFonts w:eastAsia="Times New Roman"/>
                <w:color w:val="000000"/>
                <w:sz w:val="24"/>
              </w:rPr>
              <w:t>2</w:t>
            </w:r>
          </w:p>
        </w:tc>
        <w:tc>
          <w:tcPr>
            <w:tcW w:w="2620" w:type="dxa"/>
            <w:vAlign w:val="center"/>
          </w:tcPr>
          <w:p w:rsidR="00897D96" w:rsidRDefault="00613949">
            <w:pPr>
              <w:jc w:val="center"/>
            </w:pPr>
            <w:proofErr w:type="spellStart"/>
            <w:r>
              <w:rPr>
                <w:rFonts w:eastAsia="Times New Roman"/>
                <w:color w:val="000000"/>
                <w:sz w:val="24"/>
              </w:rPr>
              <w:t>债券投资</w:t>
            </w:r>
            <w:proofErr w:type="spellEnd"/>
          </w:p>
        </w:tc>
        <w:tc>
          <w:tcPr>
            <w:tcW w:w="2694" w:type="dxa"/>
            <w:vAlign w:val="center"/>
          </w:tcPr>
          <w:p w:rsidR="00897D96" w:rsidRDefault="00613949">
            <w:pPr>
              <w:jc w:val="center"/>
            </w:pPr>
            <w:r>
              <w:rPr>
                <w:rFonts w:eastAsia="Times New Roman"/>
                <w:color w:val="000000"/>
                <w:sz w:val="24"/>
              </w:rPr>
              <w:t>319,093,400.00</w:t>
            </w:r>
          </w:p>
        </w:tc>
        <w:tc>
          <w:tcPr>
            <w:tcW w:w="2477" w:type="dxa"/>
            <w:vAlign w:val="center"/>
          </w:tcPr>
          <w:p w:rsidR="00897D96" w:rsidRDefault="00613949">
            <w:pPr>
              <w:jc w:val="center"/>
            </w:pPr>
            <w:r>
              <w:rPr>
                <w:rFonts w:eastAsia="Times New Roman"/>
                <w:color w:val="000000"/>
                <w:sz w:val="24"/>
              </w:rPr>
              <w:t>118.49%</w:t>
            </w:r>
          </w:p>
        </w:tc>
      </w:tr>
      <w:tr w:rsidR="00897D96">
        <w:tc>
          <w:tcPr>
            <w:tcW w:w="1281" w:type="dxa"/>
            <w:vAlign w:val="center"/>
          </w:tcPr>
          <w:p w:rsidR="00897D96" w:rsidRDefault="00613949">
            <w:pPr>
              <w:jc w:val="center"/>
            </w:pPr>
            <w:r>
              <w:rPr>
                <w:rFonts w:eastAsia="Times New Roman"/>
                <w:color w:val="000000"/>
                <w:sz w:val="24"/>
              </w:rPr>
              <w:t>3</w:t>
            </w:r>
          </w:p>
        </w:tc>
        <w:tc>
          <w:tcPr>
            <w:tcW w:w="2620" w:type="dxa"/>
            <w:vAlign w:val="center"/>
          </w:tcPr>
          <w:p w:rsidR="00897D96" w:rsidRDefault="00613949">
            <w:pPr>
              <w:jc w:val="center"/>
            </w:pPr>
            <w:proofErr w:type="spellStart"/>
            <w:r>
              <w:rPr>
                <w:rFonts w:eastAsia="Times New Roman"/>
                <w:color w:val="000000"/>
                <w:sz w:val="24"/>
              </w:rPr>
              <w:t>资产支持证券投资</w:t>
            </w:r>
            <w:proofErr w:type="spellEnd"/>
          </w:p>
        </w:tc>
        <w:tc>
          <w:tcPr>
            <w:tcW w:w="2694" w:type="dxa"/>
            <w:vAlign w:val="center"/>
          </w:tcPr>
          <w:p w:rsidR="00897D96" w:rsidRDefault="00613949">
            <w:pPr>
              <w:jc w:val="center"/>
            </w:pPr>
            <w:r>
              <w:rPr>
                <w:rFonts w:eastAsia="Times New Roman"/>
                <w:color w:val="000000"/>
                <w:sz w:val="24"/>
              </w:rPr>
              <w:t>-</w:t>
            </w:r>
          </w:p>
        </w:tc>
        <w:tc>
          <w:tcPr>
            <w:tcW w:w="2477" w:type="dxa"/>
            <w:vAlign w:val="center"/>
          </w:tcPr>
          <w:p w:rsidR="00897D96" w:rsidRPr="003A1996" w:rsidRDefault="00613949">
            <w:pPr>
              <w:jc w:val="center"/>
            </w:pPr>
            <w:r w:rsidRPr="003A1996">
              <w:rPr>
                <w:rFonts w:eastAsia="Times New Roman"/>
                <w:color w:val="000000"/>
                <w:sz w:val="24"/>
              </w:rPr>
              <w:t>-</w:t>
            </w:r>
          </w:p>
        </w:tc>
      </w:tr>
      <w:tr w:rsidR="00897D96">
        <w:tc>
          <w:tcPr>
            <w:tcW w:w="1281" w:type="dxa"/>
            <w:vAlign w:val="center"/>
          </w:tcPr>
          <w:p w:rsidR="00897D96" w:rsidRDefault="00613949">
            <w:pPr>
              <w:jc w:val="center"/>
            </w:pPr>
            <w:r>
              <w:rPr>
                <w:rFonts w:eastAsia="Times New Roman"/>
                <w:color w:val="000000"/>
                <w:sz w:val="24"/>
              </w:rPr>
              <w:t>4</w:t>
            </w:r>
          </w:p>
        </w:tc>
        <w:tc>
          <w:tcPr>
            <w:tcW w:w="2620" w:type="dxa"/>
            <w:vAlign w:val="center"/>
          </w:tcPr>
          <w:p w:rsidR="00897D96" w:rsidRDefault="00613949">
            <w:pPr>
              <w:jc w:val="center"/>
            </w:pPr>
            <w:proofErr w:type="spellStart"/>
            <w:r>
              <w:rPr>
                <w:rFonts w:eastAsia="Times New Roman"/>
                <w:color w:val="000000"/>
                <w:sz w:val="24"/>
              </w:rPr>
              <w:t>信托计划</w:t>
            </w:r>
            <w:proofErr w:type="spellEnd"/>
          </w:p>
        </w:tc>
        <w:tc>
          <w:tcPr>
            <w:tcW w:w="2694" w:type="dxa"/>
            <w:vAlign w:val="center"/>
          </w:tcPr>
          <w:p w:rsidR="00897D96" w:rsidRDefault="00613949">
            <w:pPr>
              <w:jc w:val="center"/>
            </w:pPr>
            <w:r>
              <w:rPr>
                <w:rFonts w:eastAsia="Times New Roman"/>
                <w:color w:val="000000"/>
                <w:sz w:val="24"/>
              </w:rPr>
              <w:t>-</w:t>
            </w:r>
          </w:p>
        </w:tc>
        <w:tc>
          <w:tcPr>
            <w:tcW w:w="2477" w:type="dxa"/>
            <w:vAlign w:val="center"/>
          </w:tcPr>
          <w:p w:rsidR="00897D96" w:rsidRPr="003A1996" w:rsidRDefault="00613949">
            <w:pPr>
              <w:jc w:val="center"/>
            </w:pPr>
            <w:r w:rsidRPr="003A1996">
              <w:rPr>
                <w:rFonts w:eastAsia="Times New Roman"/>
                <w:color w:val="000000"/>
                <w:sz w:val="24"/>
              </w:rPr>
              <w:t>-</w:t>
            </w:r>
          </w:p>
        </w:tc>
      </w:tr>
      <w:tr w:rsidR="00897D96">
        <w:tc>
          <w:tcPr>
            <w:tcW w:w="1281" w:type="dxa"/>
            <w:vAlign w:val="center"/>
          </w:tcPr>
          <w:p w:rsidR="00897D96" w:rsidRDefault="00613949">
            <w:pPr>
              <w:jc w:val="center"/>
            </w:pPr>
            <w:r>
              <w:rPr>
                <w:rFonts w:eastAsia="Times New Roman"/>
                <w:color w:val="000000"/>
                <w:sz w:val="24"/>
              </w:rPr>
              <w:t>5</w:t>
            </w:r>
          </w:p>
        </w:tc>
        <w:tc>
          <w:tcPr>
            <w:tcW w:w="2620" w:type="dxa"/>
            <w:vAlign w:val="center"/>
          </w:tcPr>
          <w:p w:rsidR="00897D96" w:rsidRDefault="00613949">
            <w:pPr>
              <w:jc w:val="center"/>
            </w:pPr>
            <w:proofErr w:type="spellStart"/>
            <w:r>
              <w:rPr>
                <w:rFonts w:eastAsia="Times New Roman"/>
                <w:color w:val="000000"/>
                <w:sz w:val="24"/>
              </w:rPr>
              <w:t>资产管理计划</w:t>
            </w:r>
            <w:proofErr w:type="spellEnd"/>
          </w:p>
        </w:tc>
        <w:tc>
          <w:tcPr>
            <w:tcW w:w="2694" w:type="dxa"/>
            <w:vAlign w:val="center"/>
          </w:tcPr>
          <w:p w:rsidR="00897D96" w:rsidRDefault="00613949">
            <w:pPr>
              <w:jc w:val="center"/>
            </w:pPr>
            <w:r>
              <w:rPr>
                <w:rFonts w:eastAsia="Times New Roman"/>
                <w:color w:val="000000"/>
                <w:sz w:val="24"/>
              </w:rPr>
              <w:t>-</w:t>
            </w:r>
          </w:p>
        </w:tc>
        <w:tc>
          <w:tcPr>
            <w:tcW w:w="2477" w:type="dxa"/>
            <w:vAlign w:val="center"/>
          </w:tcPr>
          <w:p w:rsidR="00897D96" w:rsidRPr="003A1996" w:rsidRDefault="00613949">
            <w:pPr>
              <w:jc w:val="center"/>
            </w:pPr>
            <w:r w:rsidRPr="003A1996">
              <w:rPr>
                <w:rFonts w:eastAsia="Times New Roman"/>
                <w:color w:val="000000"/>
                <w:sz w:val="24"/>
              </w:rPr>
              <w:t>-</w:t>
            </w:r>
          </w:p>
        </w:tc>
      </w:tr>
      <w:tr w:rsidR="00897D96">
        <w:tc>
          <w:tcPr>
            <w:tcW w:w="1281" w:type="dxa"/>
            <w:vAlign w:val="center"/>
          </w:tcPr>
          <w:p w:rsidR="00897D96" w:rsidRDefault="00613949">
            <w:pPr>
              <w:jc w:val="center"/>
            </w:pPr>
            <w:r>
              <w:rPr>
                <w:rFonts w:eastAsia="Times New Roman"/>
                <w:color w:val="000000"/>
                <w:sz w:val="24"/>
              </w:rPr>
              <w:t>6</w:t>
            </w:r>
          </w:p>
        </w:tc>
        <w:tc>
          <w:tcPr>
            <w:tcW w:w="2620" w:type="dxa"/>
            <w:vAlign w:val="center"/>
          </w:tcPr>
          <w:p w:rsidR="00897D96" w:rsidRDefault="00613949">
            <w:pPr>
              <w:jc w:val="center"/>
            </w:pPr>
            <w:proofErr w:type="spellStart"/>
            <w:r>
              <w:rPr>
                <w:rFonts w:eastAsia="Times New Roman"/>
                <w:color w:val="000000"/>
                <w:sz w:val="24"/>
              </w:rPr>
              <w:t>净值类资产管理计划</w:t>
            </w:r>
            <w:proofErr w:type="spellEnd"/>
          </w:p>
        </w:tc>
        <w:tc>
          <w:tcPr>
            <w:tcW w:w="2694" w:type="dxa"/>
            <w:vAlign w:val="center"/>
          </w:tcPr>
          <w:p w:rsidR="00897D96" w:rsidRDefault="00613949">
            <w:pPr>
              <w:jc w:val="center"/>
            </w:pPr>
            <w:r>
              <w:rPr>
                <w:rFonts w:eastAsia="Times New Roman"/>
                <w:color w:val="000000"/>
                <w:sz w:val="24"/>
              </w:rPr>
              <w:t>-</w:t>
            </w:r>
          </w:p>
        </w:tc>
        <w:tc>
          <w:tcPr>
            <w:tcW w:w="2477" w:type="dxa"/>
            <w:vAlign w:val="center"/>
          </w:tcPr>
          <w:p w:rsidR="00897D96" w:rsidRPr="003A1996" w:rsidRDefault="00613949">
            <w:pPr>
              <w:jc w:val="center"/>
            </w:pPr>
            <w:r w:rsidRPr="003A1996">
              <w:rPr>
                <w:rFonts w:eastAsia="Times New Roman"/>
                <w:color w:val="000000"/>
                <w:sz w:val="24"/>
              </w:rPr>
              <w:t>-</w:t>
            </w:r>
          </w:p>
        </w:tc>
      </w:tr>
      <w:tr w:rsidR="00897D96">
        <w:tc>
          <w:tcPr>
            <w:tcW w:w="1281" w:type="dxa"/>
            <w:vAlign w:val="center"/>
          </w:tcPr>
          <w:p w:rsidR="00897D96" w:rsidRDefault="00613949">
            <w:pPr>
              <w:jc w:val="center"/>
            </w:pPr>
            <w:r>
              <w:rPr>
                <w:rFonts w:eastAsia="Times New Roman"/>
                <w:color w:val="000000"/>
                <w:sz w:val="24"/>
              </w:rPr>
              <w:t>7</w:t>
            </w:r>
          </w:p>
        </w:tc>
        <w:tc>
          <w:tcPr>
            <w:tcW w:w="2620" w:type="dxa"/>
            <w:vAlign w:val="center"/>
          </w:tcPr>
          <w:p w:rsidR="00897D96" w:rsidRDefault="00613949">
            <w:pPr>
              <w:jc w:val="center"/>
            </w:pPr>
            <w:proofErr w:type="spellStart"/>
            <w:r>
              <w:rPr>
                <w:rFonts w:eastAsia="Times New Roman"/>
                <w:color w:val="000000"/>
                <w:sz w:val="24"/>
              </w:rPr>
              <w:t>资金拆出</w:t>
            </w:r>
            <w:proofErr w:type="spellEnd"/>
          </w:p>
        </w:tc>
        <w:tc>
          <w:tcPr>
            <w:tcW w:w="2694" w:type="dxa"/>
            <w:vAlign w:val="center"/>
          </w:tcPr>
          <w:p w:rsidR="00897D96" w:rsidRDefault="00613949">
            <w:pPr>
              <w:jc w:val="center"/>
            </w:pPr>
            <w:r>
              <w:rPr>
                <w:rFonts w:eastAsia="Times New Roman"/>
                <w:color w:val="000000"/>
                <w:sz w:val="24"/>
              </w:rPr>
              <w:t>-</w:t>
            </w:r>
          </w:p>
        </w:tc>
        <w:tc>
          <w:tcPr>
            <w:tcW w:w="2477" w:type="dxa"/>
            <w:vAlign w:val="center"/>
          </w:tcPr>
          <w:p w:rsidR="00897D96" w:rsidRPr="003A1996" w:rsidRDefault="00613949">
            <w:pPr>
              <w:jc w:val="center"/>
            </w:pPr>
            <w:r w:rsidRPr="003A1996">
              <w:rPr>
                <w:rFonts w:eastAsia="Times New Roman"/>
                <w:color w:val="000000"/>
                <w:sz w:val="24"/>
              </w:rPr>
              <w:t>-</w:t>
            </w:r>
          </w:p>
        </w:tc>
      </w:tr>
      <w:tr w:rsidR="00897D96">
        <w:tc>
          <w:tcPr>
            <w:tcW w:w="1281" w:type="dxa"/>
            <w:vAlign w:val="center"/>
          </w:tcPr>
          <w:p w:rsidR="00897D96" w:rsidRDefault="00613949">
            <w:pPr>
              <w:jc w:val="center"/>
            </w:pPr>
            <w:r>
              <w:rPr>
                <w:rFonts w:eastAsia="Times New Roman"/>
                <w:color w:val="000000"/>
                <w:sz w:val="24"/>
              </w:rPr>
              <w:t>8</w:t>
            </w:r>
          </w:p>
        </w:tc>
        <w:tc>
          <w:tcPr>
            <w:tcW w:w="2620" w:type="dxa"/>
            <w:vAlign w:val="center"/>
          </w:tcPr>
          <w:p w:rsidR="00897D96" w:rsidRDefault="00613949">
            <w:pPr>
              <w:jc w:val="center"/>
            </w:pPr>
            <w:proofErr w:type="spellStart"/>
            <w:r>
              <w:rPr>
                <w:rFonts w:eastAsia="Times New Roman"/>
                <w:color w:val="000000"/>
                <w:sz w:val="24"/>
              </w:rPr>
              <w:t>结算备付金</w:t>
            </w:r>
            <w:proofErr w:type="spellEnd"/>
          </w:p>
        </w:tc>
        <w:tc>
          <w:tcPr>
            <w:tcW w:w="2694" w:type="dxa"/>
            <w:vAlign w:val="center"/>
          </w:tcPr>
          <w:p w:rsidR="00897D96" w:rsidRDefault="00613949">
            <w:pPr>
              <w:jc w:val="center"/>
            </w:pPr>
            <w:r>
              <w:rPr>
                <w:rFonts w:eastAsia="Times New Roman"/>
                <w:color w:val="000000"/>
                <w:sz w:val="24"/>
              </w:rPr>
              <w:t>-</w:t>
            </w:r>
          </w:p>
        </w:tc>
        <w:tc>
          <w:tcPr>
            <w:tcW w:w="2477" w:type="dxa"/>
            <w:vAlign w:val="center"/>
          </w:tcPr>
          <w:p w:rsidR="00897D96" w:rsidRPr="003A1996" w:rsidRDefault="00613949">
            <w:pPr>
              <w:jc w:val="center"/>
            </w:pPr>
            <w:r w:rsidRPr="003A1996">
              <w:rPr>
                <w:rFonts w:eastAsia="Times New Roman"/>
                <w:color w:val="000000"/>
                <w:sz w:val="24"/>
              </w:rPr>
              <w:t>-</w:t>
            </w:r>
            <w:bookmarkStart w:id="0" w:name="_GoBack"/>
            <w:bookmarkEnd w:id="0"/>
          </w:p>
        </w:tc>
      </w:tr>
      <w:tr w:rsidR="00897D96">
        <w:tc>
          <w:tcPr>
            <w:tcW w:w="1281" w:type="dxa"/>
            <w:vAlign w:val="center"/>
          </w:tcPr>
          <w:p w:rsidR="00897D96" w:rsidRDefault="00613949">
            <w:pPr>
              <w:jc w:val="center"/>
            </w:pPr>
            <w:r>
              <w:rPr>
                <w:rFonts w:eastAsia="Times New Roman"/>
                <w:color w:val="000000"/>
                <w:sz w:val="24"/>
              </w:rPr>
              <w:t>9</w:t>
            </w:r>
          </w:p>
        </w:tc>
        <w:tc>
          <w:tcPr>
            <w:tcW w:w="2620" w:type="dxa"/>
            <w:vAlign w:val="center"/>
          </w:tcPr>
          <w:p w:rsidR="00897D96" w:rsidRDefault="00613949">
            <w:pPr>
              <w:jc w:val="center"/>
            </w:pPr>
            <w:proofErr w:type="spellStart"/>
            <w:r>
              <w:rPr>
                <w:rFonts w:eastAsia="Times New Roman"/>
                <w:color w:val="000000"/>
                <w:sz w:val="24"/>
              </w:rPr>
              <w:t>买入返售金融资产</w:t>
            </w:r>
            <w:proofErr w:type="spellEnd"/>
          </w:p>
        </w:tc>
        <w:tc>
          <w:tcPr>
            <w:tcW w:w="2694" w:type="dxa"/>
            <w:vAlign w:val="center"/>
          </w:tcPr>
          <w:p w:rsidR="00897D96" w:rsidRPr="003A1996" w:rsidRDefault="00613949">
            <w:pPr>
              <w:jc w:val="center"/>
            </w:pPr>
            <w:r w:rsidRPr="003A1996">
              <w:rPr>
                <w:rFonts w:eastAsia="Times New Roman"/>
                <w:color w:val="000000"/>
                <w:sz w:val="24"/>
              </w:rPr>
              <w:t>-</w:t>
            </w:r>
          </w:p>
        </w:tc>
        <w:tc>
          <w:tcPr>
            <w:tcW w:w="2477" w:type="dxa"/>
            <w:vAlign w:val="center"/>
          </w:tcPr>
          <w:p w:rsidR="00897D96" w:rsidRPr="003A1996" w:rsidRDefault="00613949">
            <w:pPr>
              <w:jc w:val="center"/>
            </w:pPr>
            <w:r w:rsidRPr="003A1996">
              <w:rPr>
                <w:rFonts w:eastAsia="Times New Roman"/>
                <w:color w:val="000000"/>
                <w:sz w:val="24"/>
              </w:rPr>
              <w:t>-</w:t>
            </w:r>
          </w:p>
        </w:tc>
      </w:tr>
      <w:tr w:rsidR="00897D96">
        <w:tc>
          <w:tcPr>
            <w:tcW w:w="1281" w:type="dxa"/>
            <w:vAlign w:val="center"/>
          </w:tcPr>
          <w:p w:rsidR="00897D96" w:rsidRDefault="00613949">
            <w:pPr>
              <w:jc w:val="center"/>
            </w:pPr>
            <w:r>
              <w:rPr>
                <w:rFonts w:eastAsia="Times New Roman"/>
                <w:color w:val="000000"/>
                <w:sz w:val="24"/>
              </w:rPr>
              <w:t>10</w:t>
            </w:r>
          </w:p>
        </w:tc>
        <w:tc>
          <w:tcPr>
            <w:tcW w:w="2620" w:type="dxa"/>
            <w:vAlign w:val="center"/>
          </w:tcPr>
          <w:p w:rsidR="00897D96" w:rsidRDefault="00613949">
            <w:pPr>
              <w:jc w:val="center"/>
            </w:pPr>
            <w:proofErr w:type="spellStart"/>
            <w:r>
              <w:rPr>
                <w:rFonts w:eastAsia="Times New Roman"/>
                <w:color w:val="000000"/>
                <w:sz w:val="24"/>
              </w:rPr>
              <w:t>其他资产</w:t>
            </w:r>
            <w:proofErr w:type="spellEnd"/>
          </w:p>
        </w:tc>
        <w:tc>
          <w:tcPr>
            <w:tcW w:w="2694" w:type="dxa"/>
            <w:vAlign w:val="center"/>
          </w:tcPr>
          <w:p w:rsidR="00897D96" w:rsidRDefault="00613949">
            <w:pPr>
              <w:jc w:val="center"/>
            </w:pPr>
            <w:r>
              <w:rPr>
                <w:rFonts w:eastAsia="Times New Roman"/>
                <w:color w:val="000000"/>
                <w:sz w:val="24"/>
              </w:rPr>
              <w:t>0.00</w:t>
            </w:r>
          </w:p>
        </w:tc>
        <w:tc>
          <w:tcPr>
            <w:tcW w:w="2477" w:type="dxa"/>
            <w:vAlign w:val="center"/>
          </w:tcPr>
          <w:p w:rsidR="00897D96" w:rsidRDefault="00613949">
            <w:pPr>
              <w:jc w:val="center"/>
            </w:pPr>
            <w:r>
              <w:rPr>
                <w:rFonts w:eastAsia="Times New Roman"/>
                <w:color w:val="000000"/>
                <w:sz w:val="24"/>
              </w:rPr>
              <w:t>0.00%</w:t>
            </w:r>
          </w:p>
        </w:tc>
      </w:tr>
      <w:tr w:rsidR="00897D96">
        <w:tc>
          <w:tcPr>
            <w:tcW w:w="1281" w:type="dxa"/>
            <w:vAlign w:val="center"/>
          </w:tcPr>
          <w:p w:rsidR="00897D96" w:rsidRDefault="00613949">
            <w:pPr>
              <w:jc w:val="center"/>
            </w:pPr>
            <w:r>
              <w:rPr>
                <w:rFonts w:eastAsia="Times New Roman"/>
                <w:color w:val="000000"/>
                <w:sz w:val="24"/>
              </w:rPr>
              <w:t>11</w:t>
            </w:r>
          </w:p>
        </w:tc>
        <w:tc>
          <w:tcPr>
            <w:tcW w:w="2620" w:type="dxa"/>
            <w:vAlign w:val="center"/>
          </w:tcPr>
          <w:p w:rsidR="00897D96" w:rsidRDefault="00613949">
            <w:pPr>
              <w:jc w:val="center"/>
            </w:pPr>
            <w:proofErr w:type="spellStart"/>
            <w:r>
              <w:rPr>
                <w:rFonts w:eastAsia="Times New Roman"/>
                <w:color w:val="000000"/>
                <w:sz w:val="24"/>
              </w:rPr>
              <w:t>应收利息</w:t>
            </w:r>
            <w:proofErr w:type="spellEnd"/>
          </w:p>
        </w:tc>
        <w:tc>
          <w:tcPr>
            <w:tcW w:w="2694" w:type="dxa"/>
            <w:vAlign w:val="center"/>
          </w:tcPr>
          <w:p w:rsidR="00897D96" w:rsidRDefault="00613949">
            <w:pPr>
              <w:jc w:val="center"/>
            </w:pPr>
            <w:r>
              <w:rPr>
                <w:rFonts w:eastAsia="Times New Roman"/>
                <w:color w:val="000000"/>
                <w:sz w:val="24"/>
              </w:rPr>
              <w:t>6,825,054.19</w:t>
            </w:r>
          </w:p>
        </w:tc>
        <w:tc>
          <w:tcPr>
            <w:tcW w:w="2477" w:type="dxa"/>
            <w:vAlign w:val="center"/>
          </w:tcPr>
          <w:p w:rsidR="00897D96" w:rsidRDefault="00613949">
            <w:pPr>
              <w:jc w:val="center"/>
            </w:pPr>
            <w:r>
              <w:rPr>
                <w:rFonts w:eastAsia="Times New Roman"/>
                <w:color w:val="000000"/>
                <w:sz w:val="24"/>
              </w:rPr>
              <w:t>2.53%</w:t>
            </w:r>
          </w:p>
        </w:tc>
      </w:tr>
      <w:tr w:rsidR="00897D96">
        <w:tc>
          <w:tcPr>
            <w:tcW w:w="1281" w:type="dxa"/>
            <w:vAlign w:val="center"/>
          </w:tcPr>
          <w:p w:rsidR="00897D96" w:rsidRDefault="00897D96">
            <w:pPr>
              <w:jc w:val="center"/>
            </w:pPr>
          </w:p>
        </w:tc>
        <w:tc>
          <w:tcPr>
            <w:tcW w:w="2620" w:type="dxa"/>
            <w:vAlign w:val="center"/>
          </w:tcPr>
          <w:p w:rsidR="00897D96" w:rsidRDefault="00613949">
            <w:pPr>
              <w:jc w:val="center"/>
            </w:pPr>
            <w:proofErr w:type="spellStart"/>
            <w:r>
              <w:rPr>
                <w:rFonts w:eastAsia="Times New Roman"/>
                <w:color w:val="000000"/>
                <w:sz w:val="24"/>
              </w:rPr>
              <w:t>合计</w:t>
            </w:r>
            <w:proofErr w:type="spellEnd"/>
          </w:p>
        </w:tc>
        <w:tc>
          <w:tcPr>
            <w:tcW w:w="2694" w:type="dxa"/>
            <w:vAlign w:val="center"/>
          </w:tcPr>
          <w:p w:rsidR="00897D96" w:rsidRDefault="00613949">
            <w:pPr>
              <w:jc w:val="center"/>
            </w:pPr>
            <w:r>
              <w:rPr>
                <w:rFonts w:eastAsia="Times New Roman"/>
                <w:color w:val="000000"/>
                <w:sz w:val="24"/>
              </w:rPr>
              <w:t>326,474,410.68</w:t>
            </w:r>
          </w:p>
        </w:tc>
        <w:tc>
          <w:tcPr>
            <w:tcW w:w="2477" w:type="dxa"/>
            <w:vAlign w:val="center"/>
          </w:tcPr>
          <w:p w:rsidR="00897D96" w:rsidRDefault="00613949">
            <w:pPr>
              <w:jc w:val="center"/>
            </w:pPr>
            <w:r>
              <w:rPr>
                <w:rFonts w:eastAsia="Times New Roman"/>
                <w:color w:val="000000"/>
                <w:sz w:val="24"/>
              </w:rPr>
              <w:t>121.23%</w:t>
            </w:r>
          </w:p>
        </w:tc>
      </w:tr>
    </w:tbl>
    <w:p w:rsidR="00897D96" w:rsidRDefault="00613949">
      <w:pPr>
        <w:spacing w:line="360" w:lineRule="auto"/>
        <w:ind w:firstLine="482"/>
        <w:rPr>
          <w:rFonts w:ascii="仿宋_GB2312" w:eastAsia="仿宋_GB2312" w:hAnsi="Calibri"/>
          <w:sz w:val="24"/>
          <w:szCs w:val="24"/>
        </w:rPr>
      </w:pPr>
      <w:r>
        <w:rPr>
          <w:rFonts w:ascii="仿宋_GB2312" w:eastAsia="仿宋_GB2312" w:hint="eastAsia"/>
          <w:b/>
          <w:bCs/>
          <w:sz w:val="24"/>
          <w:szCs w:val="24"/>
        </w:rPr>
        <w:t>4.2 报告期内产品投资策略和组合流动性风险分析</w:t>
      </w:r>
    </w:p>
    <w:p w:rsidR="00EA06DA" w:rsidRPr="0066753E" w:rsidRDefault="00EA06DA" w:rsidP="00EA06DA">
      <w:pPr>
        <w:widowControl/>
        <w:spacing w:before="100" w:beforeAutospacing="1" w:after="100" w:afterAutospacing="1" w:line="360" w:lineRule="atLeast"/>
        <w:ind w:firstLine="420"/>
        <w:jc w:val="left"/>
        <w:rPr>
          <w:rFonts w:ascii="仿宋_GB2312" w:eastAsia="仿宋_GB2312" w:hAnsi="宋体"/>
          <w:sz w:val="24"/>
          <w:szCs w:val="24"/>
        </w:rPr>
      </w:pPr>
      <w:r w:rsidRPr="0066753E">
        <w:rPr>
          <w:rFonts w:ascii="仿宋_GB2312" w:eastAsia="仿宋_GB2312" w:hAnsi="宋体" w:hint="eastAsia"/>
          <w:sz w:val="24"/>
          <w:szCs w:val="24"/>
        </w:rPr>
        <w:t>投资策略以配置中</w:t>
      </w:r>
      <w:proofErr w:type="gramStart"/>
      <w:r w:rsidRPr="0066753E">
        <w:rPr>
          <w:rFonts w:ascii="仿宋_GB2312" w:eastAsia="仿宋_GB2312" w:hAnsi="宋体" w:hint="eastAsia"/>
          <w:sz w:val="24"/>
          <w:szCs w:val="24"/>
        </w:rPr>
        <w:t>短久期</w:t>
      </w:r>
      <w:proofErr w:type="gramEnd"/>
      <w:r w:rsidRPr="0066753E">
        <w:rPr>
          <w:rFonts w:ascii="仿宋_GB2312" w:eastAsia="仿宋_GB2312" w:hAnsi="宋体" w:hint="eastAsia"/>
          <w:sz w:val="24"/>
          <w:szCs w:val="24"/>
        </w:rPr>
        <w:t>的</w:t>
      </w:r>
      <w:r>
        <w:rPr>
          <w:rFonts w:ascii="仿宋_GB2312" w:eastAsia="仿宋_GB2312" w:hAnsi="宋体" w:hint="eastAsia"/>
          <w:sz w:val="24"/>
          <w:szCs w:val="24"/>
        </w:rPr>
        <w:t>存单、</w:t>
      </w:r>
      <w:r w:rsidRPr="0066753E">
        <w:rPr>
          <w:rFonts w:ascii="仿宋_GB2312" w:eastAsia="仿宋_GB2312" w:hAnsi="宋体" w:hint="eastAsia"/>
          <w:sz w:val="24"/>
          <w:szCs w:val="24"/>
        </w:rPr>
        <w:t>高等级信用</w:t>
      </w:r>
      <w:proofErr w:type="gramStart"/>
      <w:r w:rsidRPr="0066753E">
        <w:rPr>
          <w:rFonts w:ascii="仿宋_GB2312" w:eastAsia="仿宋_GB2312" w:hAnsi="宋体" w:hint="eastAsia"/>
          <w:sz w:val="24"/>
          <w:szCs w:val="24"/>
        </w:rPr>
        <w:t>债为主</w:t>
      </w:r>
      <w:proofErr w:type="gramEnd"/>
      <w:r w:rsidRPr="0066753E">
        <w:rPr>
          <w:rFonts w:ascii="仿宋_GB2312" w:eastAsia="仿宋_GB2312" w:hAnsi="宋体" w:hint="eastAsia"/>
          <w:sz w:val="24"/>
          <w:szCs w:val="24"/>
        </w:rPr>
        <w:t>,通过分散化投资以及行内</w:t>
      </w:r>
      <w:r>
        <w:rPr>
          <w:rFonts w:ascii="仿宋_GB2312" w:eastAsia="仿宋_GB2312" w:hAnsi="宋体" w:hint="eastAsia"/>
          <w:sz w:val="24"/>
          <w:szCs w:val="24"/>
        </w:rPr>
        <w:t>评审会流程精选个</w:t>
      </w:r>
      <w:proofErr w:type="gramStart"/>
      <w:r>
        <w:rPr>
          <w:rFonts w:ascii="仿宋_GB2312" w:eastAsia="仿宋_GB2312" w:hAnsi="宋体" w:hint="eastAsia"/>
          <w:sz w:val="24"/>
          <w:szCs w:val="24"/>
        </w:rPr>
        <w:t>券</w:t>
      </w:r>
      <w:proofErr w:type="gramEnd"/>
      <w:r>
        <w:rPr>
          <w:rFonts w:ascii="仿宋_GB2312" w:eastAsia="仿宋_GB2312" w:hAnsi="宋体" w:hint="eastAsia"/>
          <w:sz w:val="24"/>
          <w:szCs w:val="24"/>
        </w:rPr>
        <w:t>，构建具有较好流动性、</w:t>
      </w:r>
      <w:proofErr w:type="gramStart"/>
      <w:r>
        <w:rPr>
          <w:rFonts w:ascii="仿宋_GB2312" w:eastAsia="仿宋_GB2312" w:hAnsi="宋体" w:hint="eastAsia"/>
          <w:sz w:val="24"/>
          <w:szCs w:val="24"/>
        </w:rPr>
        <w:t>久期适中</w:t>
      </w:r>
      <w:proofErr w:type="gramEnd"/>
      <w:r>
        <w:rPr>
          <w:rFonts w:ascii="仿宋_GB2312" w:eastAsia="仿宋_GB2312" w:hAnsi="宋体" w:hint="eastAsia"/>
          <w:sz w:val="24"/>
          <w:szCs w:val="24"/>
        </w:rPr>
        <w:t>（预计</w:t>
      </w:r>
      <w:proofErr w:type="gramStart"/>
      <w:r>
        <w:rPr>
          <w:rFonts w:ascii="仿宋_GB2312" w:eastAsia="仿宋_GB2312" w:hAnsi="宋体" w:hint="eastAsia"/>
          <w:sz w:val="24"/>
          <w:szCs w:val="24"/>
        </w:rPr>
        <w:t>组合久期低于</w:t>
      </w:r>
      <w:proofErr w:type="gramEnd"/>
      <w:r>
        <w:rPr>
          <w:rFonts w:ascii="仿宋_GB2312" w:eastAsia="仿宋_GB2312" w:hAnsi="宋体" w:hint="eastAsia"/>
          <w:sz w:val="24"/>
          <w:szCs w:val="24"/>
        </w:rPr>
        <w:t>1年</w:t>
      </w:r>
      <w:r w:rsidRPr="0066753E">
        <w:rPr>
          <w:rFonts w:ascii="仿宋_GB2312" w:eastAsia="仿宋_GB2312" w:hAnsi="宋体" w:hint="eastAsia"/>
          <w:sz w:val="24"/>
          <w:szCs w:val="24"/>
        </w:rPr>
        <w:t>年）、信用风险可控的优质债券组合。</w:t>
      </w:r>
    </w:p>
    <w:p w:rsidR="00EA06DA" w:rsidRPr="0066753E" w:rsidRDefault="00EA06DA" w:rsidP="00EA06DA">
      <w:pPr>
        <w:widowControl/>
        <w:spacing w:before="100" w:beforeAutospacing="1" w:after="100" w:afterAutospacing="1" w:line="360" w:lineRule="atLeast"/>
        <w:ind w:firstLine="420"/>
        <w:jc w:val="left"/>
        <w:rPr>
          <w:rFonts w:ascii="仿宋_GB2312" w:eastAsia="仿宋_GB2312" w:hAnsi="宋体"/>
          <w:sz w:val="24"/>
          <w:szCs w:val="24"/>
        </w:rPr>
      </w:pPr>
      <w:r w:rsidRPr="0066753E">
        <w:rPr>
          <w:rFonts w:ascii="仿宋_GB2312" w:eastAsia="仿宋_GB2312" w:hAnsi="宋体" w:hint="eastAsia"/>
          <w:sz w:val="24"/>
          <w:szCs w:val="24"/>
        </w:rPr>
        <w:t>同时，目前银行间市场融资成本约为</w:t>
      </w:r>
      <w:r>
        <w:rPr>
          <w:rFonts w:ascii="仿宋_GB2312" w:eastAsia="仿宋_GB2312" w:hAnsi="宋体" w:hint="eastAsia"/>
          <w:sz w:val="24"/>
          <w:szCs w:val="24"/>
        </w:rPr>
        <w:t>1.8%-2.</w:t>
      </w:r>
      <w:r w:rsidR="006B4FA4">
        <w:rPr>
          <w:rFonts w:ascii="仿宋_GB2312" w:eastAsia="仿宋_GB2312" w:hAnsi="宋体" w:hint="eastAsia"/>
          <w:sz w:val="24"/>
          <w:szCs w:val="24"/>
        </w:rPr>
        <w:t>5</w:t>
      </w:r>
      <w:r w:rsidRPr="0066753E">
        <w:rPr>
          <w:rFonts w:ascii="仿宋_GB2312" w:eastAsia="仿宋_GB2312" w:hAnsi="宋体" w:hint="eastAsia"/>
          <w:sz w:val="24"/>
          <w:szCs w:val="24"/>
        </w:rPr>
        <w:t>%，明显低于债券收益率水平。本产品将在合适时机通过杠杆操作进行收益增厚操作。</w:t>
      </w:r>
    </w:p>
    <w:p w:rsidR="00EA06DA" w:rsidRPr="0066753E" w:rsidRDefault="00EA06DA" w:rsidP="00EA06DA">
      <w:pPr>
        <w:widowControl/>
        <w:spacing w:before="100" w:beforeAutospacing="1" w:after="100" w:afterAutospacing="1" w:line="360" w:lineRule="atLeast"/>
        <w:ind w:firstLine="480"/>
        <w:jc w:val="left"/>
        <w:rPr>
          <w:rFonts w:ascii="仿宋_GB2312" w:eastAsia="仿宋_GB2312" w:hAnsi="宋体"/>
          <w:sz w:val="24"/>
          <w:szCs w:val="24"/>
        </w:rPr>
      </w:pPr>
      <w:r w:rsidRPr="0066753E">
        <w:rPr>
          <w:rFonts w:ascii="仿宋_GB2312" w:eastAsia="仿宋_GB2312" w:hAnsi="宋体" w:hint="eastAsia"/>
          <w:sz w:val="24"/>
          <w:szCs w:val="24"/>
        </w:rPr>
        <w:t>本产品持仓以高评级信用债为主，杠杆率控制在合理水平，组合的流动性风险处于合理可控水平。</w:t>
      </w:r>
    </w:p>
    <w:p w:rsidR="00897D96" w:rsidRPr="00EA06DA" w:rsidRDefault="00897D96">
      <w:pPr>
        <w:rPr>
          <w:rFonts w:ascii="仿宋_GB2312" w:eastAsia="仿宋_GB2312" w:hAnsi="Calibri"/>
          <w:sz w:val="24"/>
          <w:szCs w:val="24"/>
        </w:rPr>
      </w:pPr>
    </w:p>
    <w:p w:rsidR="00897D96" w:rsidRDefault="00613949">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897D96">
        <w:trPr>
          <w:trHeight w:val="296"/>
        </w:trPr>
        <w:tc>
          <w:tcPr>
            <w:tcW w:w="1139" w:type="dxa"/>
            <w:vAlign w:val="center"/>
          </w:tcPr>
          <w:p w:rsidR="00897D96" w:rsidRDefault="0061394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897D96" w:rsidRDefault="0061394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897D96" w:rsidRDefault="0061394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897D96" w:rsidRDefault="0061394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897D96">
        <w:trPr>
          <w:trHeight w:val="296"/>
        </w:trPr>
        <w:tc>
          <w:tcPr>
            <w:tcW w:w="1139" w:type="dxa"/>
          </w:tcPr>
          <w:p w:rsidR="00897D96" w:rsidRDefault="0061394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897D96" w:rsidRDefault="0061394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18国开03</w:t>
            </w:r>
          </w:p>
        </w:tc>
        <w:tc>
          <w:tcPr>
            <w:tcW w:w="2835" w:type="dxa"/>
          </w:tcPr>
          <w:p w:rsidR="00897D96" w:rsidRDefault="0061394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30,234,000.00</w:t>
            </w:r>
          </w:p>
        </w:tc>
        <w:tc>
          <w:tcPr>
            <w:tcW w:w="2835" w:type="dxa"/>
            <w:tcMar>
              <w:top w:w="15" w:type="dxa"/>
              <w:left w:w="15" w:type="dxa"/>
              <w:bottom w:w="0" w:type="dxa"/>
              <w:right w:w="15" w:type="dxa"/>
            </w:tcMar>
          </w:tcPr>
          <w:p w:rsidR="00897D96" w:rsidRDefault="0061394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11.23%</w:t>
            </w:r>
          </w:p>
        </w:tc>
      </w:tr>
      <w:tr w:rsidR="00897D96">
        <w:tc>
          <w:tcPr>
            <w:tcW w:w="1139" w:type="dxa"/>
          </w:tcPr>
          <w:p w:rsidR="00897D96" w:rsidRDefault="00613949">
            <w:pPr>
              <w:jc w:val="center"/>
            </w:pPr>
            <w:r>
              <w:rPr>
                <w:rFonts w:eastAsia="Times New Roman"/>
                <w:color w:val="000000"/>
                <w:sz w:val="24"/>
              </w:rPr>
              <w:t>2</w:t>
            </w:r>
          </w:p>
        </w:tc>
        <w:tc>
          <w:tcPr>
            <w:tcW w:w="2268" w:type="dxa"/>
            <w:tcMar>
              <w:top w:w="15" w:type="dxa"/>
              <w:left w:w="15" w:type="dxa"/>
              <w:bottom w:w="0" w:type="dxa"/>
              <w:right w:w="15" w:type="dxa"/>
            </w:tcMar>
          </w:tcPr>
          <w:p w:rsidR="00897D96" w:rsidRDefault="00613949">
            <w:pPr>
              <w:jc w:val="center"/>
            </w:pPr>
            <w:r>
              <w:rPr>
                <w:rFonts w:eastAsia="Times New Roman"/>
                <w:color w:val="000000"/>
                <w:sz w:val="24"/>
              </w:rPr>
              <w:t>18湖北科投PPN002</w:t>
            </w:r>
          </w:p>
        </w:tc>
        <w:tc>
          <w:tcPr>
            <w:tcW w:w="2835" w:type="dxa"/>
          </w:tcPr>
          <w:p w:rsidR="00897D96" w:rsidRDefault="00613949">
            <w:pPr>
              <w:jc w:val="center"/>
            </w:pPr>
            <w:r>
              <w:rPr>
                <w:rFonts w:eastAsia="Times New Roman"/>
                <w:color w:val="000000"/>
                <w:sz w:val="24"/>
              </w:rPr>
              <w:t>25,430,000.00</w:t>
            </w:r>
          </w:p>
        </w:tc>
        <w:tc>
          <w:tcPr>
            <w:tcW w:w="2835" w:type="dxa"/>
            <w:tcMar>
              <w:top w:w="15" w:type="dxa"/>
              <w:left w:w="15" w:type="dxa"/>
              <w:bottom w:w="0" w:type="dxa"/>
              <w:right w:w="15" w:type="dxa"/>
            </w:tcMar>
          </w:tcPr>
          <w:p w:rsidR="00897D96" w:rsidRDefault="00613949">
            <w:pPr>
              <w:jc w:val="center"/>
            </w:pPr>
            <w:r>
              <w:rPr>
                <w:rFonts w:eastAsia="Times New Roman"/>
                <w:color w:val="000000"/>
                <w:sz w:val="24"/>
              </w:rPr>
              <w:t>9.44%</w:t>
            </w:r>
          </w:p>
        </w:tc>
      </w:tr>
      <w:tr w:rsidR="00897D96">
        <w:tc>
          <w:tcPr>
            <w:tcW w:w="1139" w:type="dxa"/>
          </w:tcPr>
          <w:p w:rsidR="00897D96" w:rsidRDefault="00613949">
            <w:pPr>
              <w:jc w:val="center"/>
            </w:pPr>
            <w:r>
              <w:rPr>
                <w:rFonts w:eastAsia="Times New Roman"/>
                <w:color w:val="000000"/>
                <w:sz w:val="24"/>
              </w:rPr>
              <w:t>3</w:t>
            </w:r>
          </w:p>
        </w:tc>
        <w:tc>
          <w:tcPr>
            <w:tcW w:w="2268" w:type="dxa"/>
            <w:tcMar>
              <w:top w:w="15" w:type="dxa"/>
              <w:left w:w="15" w:type="dxa"/>
              <w:bottom w:w="0" w:type="dxa"/>
              <w:right w:w="15" w:type="dxa"/>
            </w:tcMar>
          </w:tcPr>
          <w:p w:rsidR="00897D96" w:rsidRDefault="00613949">
            <w:pPr>
              <w:jc w:val="center"/>
            </w:pPr>
            <w:r>
              <w:rPr>
                <w:rFonts w:eastAsia="Times New Roman"/>
                <w:color w:val="000000"/>
                <w:sz w:val="24"/>
              </w:rPr>
              <w:t>17农业银行二级</w:t>
            </w:r>
          </w:p>
        </w:tc>
        <w:tc>
          <w:tcPr>
            <w:tcW w:w="2835" w:type="dxa"/>
          </w:tcPr>
          <w:p w:rsidR="00897D96" w:rsidRDefault="00613949">
            <w:pPr>
              <w:jc w:val="center"/>
            </w:pPr>
            <w:r>
              <w:rPr>
                <w:rFonts w:eastAsia="Times New Roman"/>
                <w:color w:val="000000"/>
                <w:sz w:val="24"/>
              </w:rPr>
              <w:t>25,357,500.00</w:t>
            </w:r>
          </w:p>
        </w:tc>
        <w:tc>
          <w:tcPr>
            <w:tcW w:w="2835" w:type="dxa"/>
            <w:tcMar>
              <w:top w:w="15" w:type="dxa"/>
              <w:left w:w="15" w:type="dxa"/>
              <w:bottom w:w="0" w:type="dxa"/>
              <w:right w:w="15" w:type="dxa"/>
            </w:tcMar>
          </w:tcPr>
          <w:p w:rsidR="00897D96" w:rsidRDefault="00613949">
            <w:pPr>
              <w:jc w:val="center"/>
            </w:pPr>
            <w:r>
              <w:rPr>
                <w:rFonts w:eastAsia="Times New Roman"/>
                <w:color w:val="000000"/>
                <w:sz w:val="24"/>
              </w:rPr>
              <w:t>9.42%</w:t>
            </w:r>
          </w:p>
        </w:tc>
      </w:tr>
      <w:tr w:rsidR="00897D96">
        <w:tc>
          <w:tcPr>
            <w:tcW w:w="1139" w:type="dxa"/>
          </w:tcPr>
          <w:p w:rsidR="00897D96" w:rsidRDefault="00613949">
            <w:pPr>
              <w:jc w:val="center"/>
            </w:pPr>
            <w:r>
              <w:rPr>
                <w:rFonts w:eastAsia="Times New Roman"/>
                <w:color w:val="000000"/>
                <w:sz w:val="24"/>
              </w:rPr>
              <w:t>4</w:t>
            </w:r>
          </w:p>
        </w:tc>
        <w:tc>
          <w:tcPr>
            <w:tcW w:w="2268" w:type="dxa"/>
            <w:tcMar>
              <w:top w:w="15" w:type="dxa"/>
              <w:left w:w="15" w:type="dxa"/>
              <w:bottom w:w="0" w:type="dxa"/>
              <w:right w:w="15" w:type="dxa"/>
            </w:tcMar>
          </w:tcPr>
          <w:p w:rsidR="00897D96" w:rsidRDefault="00613949">
            <w:pPr>
              <w:jc w:val="center"/>
            </w:pPr>
            <w:r>
              <w:rPr>
                <w:rFonts w:eastAsia="Times New Roman"/>
                <w:color w:val="000000"/>
                <w:sz w:val="24"/>
              </w:rPr>
              <w:t>18鲁黄金PPN001</w:t>
            </w:r>
          </w:p>
        </w:tc>
        <w:tc>
          <w:tcPr>
            <w:tcW w:w="2835" w:type="dxa"/>
          </w:tcPr>
          <w:p w:rsidR="00897D96" w:rsidRDefault="00613949">
            <w:pPr>
              <w:jc w:val="center"/>
            </w:pPr>
            <w:r>
              <w:rPr>
                <w:rFonts w:eastAsia="Times New Roman"/>
                <w:color w:val="000000"/>
                <w:sz w:val="24"/>
              </w:rPr>
              <w:t>25,257,500.00</w:t>
            </w:r>
          </w:p>
        </w:tc>
        <w:tc>
          <w:tcPr>
            <w:tcW w:w="2835" w:type="dxa"/>
            <w:tcMar>
              <w:top w:w="15" w:type="dxa"/>
              <w:left w:w="15" w:type="dxa"/>
              <w:bottom w:w="0" w:type="dxa"/>
              <w:right w:w="15" w:type="dxa"/>
            </w:tcMar>
          </w:tcPr>
          <w:p w:rsidR="00897D96" w:rsidRDefault="00613949">
            <w:pPr>
              <w:jc w:val="center"/>
            </w:pPr>
            <w:r>
              <w:rPr>
                <w:rFonts w:eastAsia="Times New Roman"/>
                <w:color w:val="000000"/>
                <w:sz w:val="24"/>
              </w:rPr>
              <w:t>9.38%</w:t>
            </w:r>
          </w:p>
        </w:tc>
      </w:tr>
      <w:tr w:rsidR="00897D96">
        <w:tc>
          <w:tcPr>
            <w:tcW w:w="1139" w:type="dxa"/>
          </w:tcPr>
          <w:p w:rsidR="00897D96" w:rsidRDefault="00613949">
            <w:pPr>
              <w:jc w:val="center"/>
            </w:pPr>
            <w:r>
              <w:rPr>
                <w:rFonts w:eastAsia="Times New Roman"/>
                <w:color w:val="000000"/>
                <w:sz w:val="24"/>
              </w:rPr>
              <w:t>5</w:t>
            </w:r>
          </w:p>
        </w:tc>
        <w:tc>
          <w:tcPr>
            <w:tcW w:w="2268" w:type="dxa"/>
            <w:tcMar>
              <w:top w:w="15" w:type="dxa"/>
              <w:left w:w="15" w:type="dxa"/>
              <w:bottom w:w="0" w:type="dxa"/>
              <w:right w:w="15" w:type="dxa"/>
            </w:tcMar>
          </w:tcPr>
          <w:p w:rsidR="00897D96" w:rsidRDefault="00613949">
            <w:pPr>
              <w:jc w:val="center"/>
            </w:pPr>
            <w:r>
              <w:rPr>
                <w:rFonts w:eastAsia="Times New Roman"/>
                <w:color w:val="000000"/>
                <w:sz w:val="24"/>
              </w:rPr>
              <w:t>16苏盐业MTN001</w:t>
            </w:r>
          </w:p>
        </w:tc>
        <w:tc>
          <w:tcPr>
            <w:tcW w:w="2835" w:type="dxa"/>
          </w:tcPr>
          <w:p w:rsidR="00897D96" w:rsidRDefault="00613949">
            <w:pPr>
              <w:jc w:val="center"/>
            </w:pPr>
            <w:r>
              <w:rPr>
                <w:rFonts w:eastAsia="Times New Roman"/>
                <w:color w:val="000000"/>
                <w:sz w:val="24"/>
              </w:rPr>
              <w:t>25,172,500.00</w:t>
            </w:r>
          </w:p>
        </w:tc>
        <w:tc>
          <w:tcPr>
            <w:tcW w:w="2835" w:type="dxa"/>
            <w:tcMar>
              <w:top w:w="15" w:type="dxa"/>
              <w:left w:w="15" w:type="dxa"/>
              <w:bottom w:w="0" w:type="dxa"/>
              <w:right w:w="15" w:type="dxa"/>
            </w:tcMar>
          </w:tcPr>
          <w:p w:rsidR="00897D96" w:rsidRDefault="00613949">
            <w:pPr>
              <w:jc w:val="center"/>
            </w:pPr>
            <w:r>
              <w:rPr>
                <w:rFonts w:eastAsia="Times New Roman"/>
                <w:color w:val="000000"/>
                <w:sz w:val="24"/>
              </w:rPr>
              <w:t>9.35%</w:t>
            </w:r>
          </w:p>
        </w:tc>
      </w:tr>
      <w:tr w:rsidR="00897D96">
        <w:tc>
          <w:tcPr>
            <w:tcW w:w="1139" w:type="dxa"/>
          </w:tcPr>
          <w:p w:rsidR="00897D96" w:rsidRDefault="00613949">
            <w:pPr>
              <w:jc w:val="center"/>
            </w:pPr>
            <w:r>
              <w:rPr>
                <w:rFonts w:eastAsia="Times New Roman"/>
                <w:color w:val="000000"/>
                <w:sz w:val="24"/>
              </w:rPr>
              <w:t>6</w:t>
            </w:r>
          </w:p>
        </w:tc>
        <w:tc>
          <w:tcPr>
            <w:tcW w:w="2268" w:type="dxa"/>
            <w:tcMar>
              <w:top w:w="15" w:type="dxa"/>
              <w:left w:w="15" w:type="dxa"/>
              <w:bottom w:w="0" w:type="dxa"/>
              <w:right w:w="15" w:type="dxa"/>
            </w:tcMar>
          </w:tcPr>
          <w:p w:rsidR="00897D96" w:rsidRDefault="00613949">
            <w:pPr>
              <w:jc w:val="center"/>
            </w:pPr>
            <w:r>
              <w:rPr>
                <w:rFonts w:eastAsia="Times New Roman"/>
                <w:color w:val="000000"/>
                <w:sz w:val="24"/>
              </w:rPr>
              <w:t>20碧水源CP003</w:t>
            </w:r>
          </w:p>
        </w:tc>
        <w:tc>
          <w:tcPr>
            <w:tcW w:w="2835" w:type="dxa"/>
          </w:tcPr>
          <w:p w:rsidR="00897D96" w:rsidRDefault="00613949">
            <w:pPr>
              <w:jc w:val="center"/>
            </w:pPr>
            <w:r>
              <w:rPr>
                <w:rFonts w:eastAsia="Times New Roman"/>
                <w:color w:val="000000"/>
                <w:sz w:val="24"/>
              </w:rPr>
              <w:t>25,072,500.00</w:t>
            </w:r>
          </w:p>
        </w:tc>
        <w:tc>
          <w:tcPr>
            <w:tcW w:w="2835" w:type="dxa"/>
            <w:tcMar>
              <w:top w:w="15" w:type="dxa"/>
              <w:left w:w="15" w:type="dxa"/>
              <w:bottom w:w="0" w:type="dxa"/>
              <w:right w:w="15" w:type="dxa"/>
            </w:tcMar>
          </w:tcPr>
          <w:p w:rsidR="00897D96" w:rsidRDefault="00613949">
            <w:pPr>
              <w:jc w:val="center"/>
            </w:pPr>
            <w:r>
              <w:rPr>
                <w:rFonts w:eastAsia="Times New Roman"/>
                <w:color w:val="000000"/>
                <w:sz w:val="24"/>
              </w:rPr>
              <w:t>9.31%</w:t>
            </w:r>
          </w:p>
        </w:tc>
      </w:tr>
      <w:tr w:rsidR="00897D96">
        <w:tc>
          <w:tcPr>
            <w:tcW w:w="1139" w:type="dxa"/>
          </w:tcPr>
          <w:p w:rsidR="00897D96" w:rsidRDefault="00613949">
            <w:pPr>
              <w:jc w:val="center"/>
            </w:pPr>
            <w:r>
              <w:rPr>
                <w:rFonts w:eastAsia="Times New Roman"/>
                <w:color w:val="000000"/>
                <w:sz w:val="24"/>
              </w:rPr>
              <w:t>7</w:t>
            </w:r>
          </w:p>
        </w:tc>
        <w:tc>
          <w:tcPr>
            <w:tcW w:w="2268" w:type="dxa"/>
            <w:tcMar>
              <w:top w:w="15" w:type="dxa"/>
              <w:left w:w="15" w:type="dxa"/>
              <w:bottom w:w="0" w:type="dxa"/>
              <w:right w:w="15" w:type="dxa"/>
            </w:tcMar>
          </w:tcPr>
          <w:p w:rsidR="00897D96" w:rsidRDefault="00613949">
            <w:pPr>
              <w:jc w:val="center"/>
            </w:pPr>
            <w:r>
              <w:rPr>
                <w:rFonts w:eastAsia="Times New Roman"/>
                <w:color w:val="000000"/>
                <w:sz w:val="24"/>
              </w:rPr>
              <w:t>19新疆有色CP001</w:t>
            </w:r>
          </w:p>
        </w:tc>
        <w:tc>
          <w:tcPr>
            <w:tcW w:w="2835" w:type="dxa"/>
          </w:tcPr>
          <w:p w:rsidR="00897D96" w:rsidRDefault="00613949">
            <w:pPr>
              <w:jc w:val="center"/>
            </w:pPr>
            <w:r>
              <w:rPr>
                <w:rFonts w:eastAsia="Times New Roman"/>
                <w:color w:val="000000"/>
                <w:sz w:val="24"/>
              </w:rPr>
              <w:t>25,002,500.00</w:t>
            </w:r>
          </w:p>
        </w:tc>
        <w:tc>
          <w:tcPr>
            <w:tcW w:w="2835" w:type="dxa"/>
            <w:tcMar>
              <w:top w:w="15" w:type="dxa"/>
              <w:left w:w="15" w:type="dxa"/>
              <w:bottom w:w="0" w:type="dxa"/>
              <w:right w:w="15" w:type="dxa"/>
            </w:tcMar>
          </w:tcPr>
          <w:p w:rsidR="00897D96" w:rsidRDefault="00613949">
            <w:pPr>
              <w:jc w:val="center"/>
            </w:pPr>
            <w:r>
              <w:rPr>
                <w:rFonts w:eastAsia="Times New Roman"/>
                <w:color w:val="000000"/>
                <w:sz w:val="24"/>
              </w:rPr>
              <w:t>9.28%</w:t>
            </w:r>
          </w:p>
        </w:tc>
      </w:tr>
      <w:tr w:rsidR="00897D96">
        <w:tc>
          <w:tcPr>
            <w:tcW w:w="1139" w:type="dxa"/>
          </w:tcPr>
          <w:p w:rsidR="00897D96" w:rsidRDefault="00613949">
            <w:pPr>
              <w:jc w:val="center"/>
            </w:pPr>
            <w:r>
              <w:rPr>
                <w:rFonts w:eastAsia="Times New Roman"/>
                <w:color w:val="000000"/>
                <w:sz w:val="24"/>
              </w:rPr>
              <w:t>8</w:t>
            </w:r>
          </w:p>
        </w:tc>
        <w:tc>
          <w:tcPr>
            <w:tcW w:w="2268" w:type="dxa"/>
            <w:tcMar>
              <w:top w:w="15" w:type="dxa"/>
              <w:left w:w="15" w:type="dxa"/>
              <w:bottom w:w="0" w:type="dxa"/>
              <w:right w:w="15" w:type="dxa"/>
            </w:tcMar>
          </w:tcPr>
          <w:p w:rsidR="00897D96" w:rsidRDefault="00613949">
            <w:pPr>
              <w:jc w:val="center"/>
            </w:pPr>
            <w:r>
              <w:rPr>
                <w:rFonts w:eastAsia="Times New Roman"/>
                <w:color w:val="000000"/>
                <w:sz w:val="24"/>
              </w:rPr>
              <w:t>20农业银行CD026</w:t>
            </w:r>
          </w:p>
        </w:tc>
        <w:tc>
          <w:tcPr>
            <w:tcW w:w="2835" w:type="dxa"/>
          </w:tcPr>
          <w:p w:rsidR="00897D96" w:rsidRDefault="00613949">
            <w:pPr>
              <w:jc w:val="center"/>
            </w:pPr>
            <w:r>
              <w:rPr>
                <w:rFonts w:eastAsia="Times New Roman"/>
                <w:color w:val="000000"/>
                <w:sz w:val="24"/>
              </w:rPr>
              <w:t>24,410,000.00</w:t>
            </w:r>
          </w:p>
        </w:tc>
        <w:tc>
          <w:tcPr>
            <w:tcW w:w="2835" w:type="dxa"/>
            <w:tcMar>
              <w:top w:w="15" w:type="dxa"/>
              <w:left w:w="15" w:type="dxa"/>
              <w:bottom w:w="0" w:type="dxa"/>
              <w:right w:w="15" w:type="dxa"/>
            </w:tcMar>
          </w:tcPr>
          <w:p w:rsidR="00897D96" w:rsidRDefault="00613949">
            <w:pPr>
              <w:jc w:val="center"/>
            </w:pPr>
            <w:r>
              <w:rPr>
                <w:rFonts w:eastAsia="Times New Roman"/>
                <w:color w:val="000000"/>
                <w:sz w:val="24"/>
              </w:rPr>
              <w:t>9.06%</w:t>
            </w:r>
          </w:p>
        </w:tc>
      </w:tr>
      <w:tr w:rsidR="00897D96">
        <w:tc>
          <w:tcPr>
            <w:tcW w:w="1139" w:type="dxa"/>
          </w:tcPr>
          <w:p w:rsidR="00897D96" w:rsidRDefault="00613949">
            <w:pPr>
              <w:jc w:val="center"/>
            </w:pPr>
            <w:r>
              <w:rPr>
                <w:rFonts w:eastAsia="Times New Roman"/>
                <w:color w:val="000000"/>
                <w:sz w:val="24"/>
              </w:rPr>
              <w:t>9</w:t>
            </w:r>
          </w:p>
        </w:tc>
        <w:tc>
          <w:tcPr>
            <w:tcW w:w="2268" w:type="dxa"/>
            <w:tcMar>
              <w:top w:w="15" w:type="dxa"/>
              <w:left w:w="15" w:type="dxa"/>
              <w:bottom w:w="0" w:type="dxa"/>
              <w:right w:w="15" w:type="dxa"/>
            </w:tcMar>
          </w:tcPr>
          <w:p w:rsidR="00897D96" w:rsidRDefault="00613949">
            <w:pPr>
              <w:jc w:val="center"/>
            </w:pPr>
            <w:r>
              <w:rPr>
                <w:rFonts w:eastAsia="Times New Roman"/>
                <w:color w:val="000000"/>
                <w:sz w:val="24"/>
              </w:rPr>
              <w:t>20交通银行CD020</w:t>
            </w:r>
          </w:p>
        </w:tc>
        <w:tc>
          <w:tcPr>
            <w:tcW w:w="2835" w:type="dxa"/>
          </w:tcPr>
          <w:p w:rsidR="00897D96" w:rsidRDefault="00613949">
            <w:pPr>
              <w:jc w:val="center"/>
            </w:pPr>
            <w:r>
              <w:rPr>
                <w:rFonts w:eastAsia="Times New Roman"/>
                <w:color w:val="000000"/>
                <w:sz w:val="24"/>
              </w:rPr>
              <w:t>24,310,000.00</w:t>
            </w:r>
          </w:p>
        </w:tc>
        <w:tc>
          <w:tcPr>
            <w:tcW w:w="2835" w:type="dxa"/>
            <w:tcMar>
              <w:top w:w="15" w:type="dxa"/>
              <w:left w:w="15" w:type="dxa"/>
              <w:bottom w:w="0" w:type="dxa"/>
              <w:right w:w="15" w:type="dxa"/>
            </w:tcMar>
          </w:tcPr>
          <w:p w:rsidR="00897D96" w:rsidRDefault="00613949">
            <w:pPr>
              <w:jc w:val="center"/>
            </w:pPr>
            <w:r>
              <w:rPr>
                <w:rFonts w:eastAsia="Times New Roman"/>
                <w:color w:val="000000"/>
                <w:sz w:val="24"/>
              </w:rPr>
              <w:t>9.03%</w:t>
            </w:r>
          </w:p>
        </w:tc>
      </w:tr>
      <w:tr w:rsidR="00897D96">
        <w:tc>
          <w:tcPr>
            <w:tcW w:w="1139" w:type="dxa"/>
          </w:tcPr>
          <w:p w:rsidR="00897D96" w:rsidRDefault="00613949">
            <w:pPr>
              <w:jc w:val="center"/>
            </w:pPr>
            <w:r>
              <w:rPr>
                <w:rFonts w:eastAsia="Times New Roman"/>
                <w:color w:val="000000"/>
                <w:sz w:val="24"/>
              </w:rPr>
              <w:t>10</w:t>
            </w:r>
          </w:p>
        </w:tc>
        <w:tc>
          <w:tcPr>
            <w:tcW w:w="2268" w:type="dxa"/>
            <w:tcMar>
              <w:top w:w="15" w:type="dxa"/>
              <w:left w:w="15" w:type="dxa"/>
              <w:bottom w:w="0" w:type="dxa"/>
              <w:right w:w="15" w:type="dxa"/>
            </w:tcMar>
          </w:tcPr>
          <w:p w:rsidR="00897D96" w:rsidRDefault="00613949">
            <w:pPr>
              <w:jc w:val="center"/>
            </w:pPr>
            <w:r>
              <w:rPr>
                <w:rFonts w:eastAsia="Times New Roman"/>
                <w:color w:val="000000"/>
                <w:sz w:val="24"/>
              </w:rPr>
              <w:t>20农业银行CD075</w:t>
            </w:r>
          </w:p>
        </w:tc>
        <w:tc>
          <w:tcPr>
            <w:tcW w:w="2835" w:type="dxa"/>
          </w:tcPr>
          <w:p w:rsidR="00897D96" w:rsidRDefault="00613949">
            <w:pPr>
              <w:jc w:val="center"/>
            </w:pPr>
            <w:r>
              <w:rPr>
                <w:rFonts w:eastAsia="Times New Roman"/>
                <w:color w:val="000000"/>
                <w:sz w:val="24"/>
              </w:rPr>
              <w:t>23,678,400.00</w:t>
            </w:r>
          </w:p>
        </w:tc>
        <w:tc>
          <w:tcPr>
            <w:tcW w:w="2835" w:type="dxa"/>
            <w:tcMar>
              <w:top w:w="15" w:type="dxa"/>
              <w:left w:w="15" w:type="dxa"/>
              <w:bottom w:w="0" w:type="dxa"/>
              <w:right w:w="15" w:type="dxa"/>
            </w:tcMar>
          </w:tcPr>
          <w:p w:rsidR="00897D96" w:rsidRDefault="00613949">
            <w:pPr>
              <w:jc w:val="center"/>
            </w:pPr>
            <w:r>
              <w:rPr>
                <w:rFonts w:eastAsia="Times New Roman"/>
                <w:color w:val="000000"/>
                <w:sz w:val="24"/>
              </w:rPr>
              <w:t>8.79%</w:t>
            </w:r>
          </w:p>
        </w:tc>
      </w:tr>
    </w:tbl>
    <w:p w:rsidR="00897D96" w:rsidRDefault="00897D96">
      <w:pPr>
        <w:rPr>
          <w:rFonts w:ascii="仿宋_GB2312" w:eastAsia="仿宋_GB2312" w:hAnsi="Calibri"/>
          <w:sz w:val="24"/>
          <w:szCs w:val="24"/>
        </w:rPr>
      </w:pPr>
    </w:p>
    <w:p w:rsidR="00897D96" w:rsidRDefault="00613949">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8"/>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897D96">
        <w:tc>
          <w:tcPr>
            <w:tcW w:w="852"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897D96">
        <w:tc>
          <w:tcPr>
            <w:tcW w:w="852"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897D96" w:rsidRDefault="0061394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897D96" w:rsidRDefault="00613949">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897D96" w:rsidRDefault="00613949">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897D96" w:rsidRDefault="00613949">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.关联交易（如有）</w:t>
      </w:r>
    </w:p>
    <w:tbl>
      <w:tblPr>
        <w:tblStyle w:val="a9"/>
        <w:tblW w:w="9180" w:type="dxa"/>
        <w:tblLayout w:type="fixed"/>
        <w:tblLook w:val="04A0" w:firstRow="1" w:lastRow="0" w:firstColumn="1" w:lastColumn="0" w:noHBand="0" w:noVBand="1"/>
      </w:tblPr>
      <w:tblGrid>
        <w:gridCol w:w="1101"/>
        <w:gridCol w:w="1694"/>
        <w:gridCol w:w="857"/>
        <w:gridCol w:w="1134"/>
        <w:gridCol w:w="1276"/>
        <w:gridCol w:w="3118"/>
      </w:tblGrid>
      <w:tr w:rsidR="00897D96">
        <w:tc>
          <w:tcPr>
            <w:tcW w:w="1101" w:type="dxa"/>
            <w:tcBorders>
              <w:top w:val="single" w:sz="4" w:space="0" w:color="auto"/>
              <w:left w:val="single" w:sz="4" w:space="0" w:color="auto"/>
              <w:bottom w:val="single" w:sz="4" w:space="0" w:color="auto"/>
              <w:right w:val="single" w:sz="4" w:space="0" w:color="auto"/>
            </w:tcBorders>
          </w:tcPr>
          <w:p w:rsidR="00897D96" w:rsidRDefault="00613949">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lastRenderedPageBreak/>
              <w:t>序号</w:t>
            </w:r>
          </w:p>
        </w:tc>
        <w:tc>
          <w:tcPr>
            <w:tcW w:w="1694" w:type="dxa"/>
            <w:tcBorders>
              <w:top w:val="single" w:sz="4" w:space="0" w:color="auto"/>
              <w:left w:val="single" w:sz="4" w:space="0" w:color="auto"/>
              <w:bottom w:val="single" w:sz="4" w:space="0" w:color="auto"/>
              <w:right w:val="single" w:sz="4" w:space="0" w:color="auto"/>
            </w:tcBorders>
          </w:tcPr>
          <w:p w:rsidR="00897D96" w:rsidRDefault="00613949">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897D96" w:rsidRDefault="00613949">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897D96" w:rsidRDefault="00613949">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897D96" w:rsidRDefault="00613949">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897D96" w:rsidRDefault="00613949">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897D96">
        <w:tc>
          <w:tcPr>
            <w:tcW w:w="1101" w:type="dxa"/>
            <w:tcBorders>
              <w:top w:val="single" w:sz="4" w:space="0" w:color="auto"/>
              <w:left w:val="single" w:sz="4" w:space="0" w:color="auto"/>
              <w:bottom w:val="single" w:sz="4" w:space="0" w:color="auto"/>
              <w:right w:val="single" w:sz="4" w:space="0" w:color="auto"/>
            </w:tcBorders>
          </w:tcPr>
          <w:p w:rsidR="00897D96" w:rsidRDefault="00613949">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r>
      <w:tr w:rsidR="00897D96">
        <w:tc>
          <w:tcPr>
            <w:tcW w:w="1101" w:type="dxa"/>
            <w:tcBorders>
              <w:top w:val="single" w:sz="4" w:space="0" w:color="auto"/>
              <w:left w:val="single" w:sz="4" w:space="0" w:color="auto"/>
              <w:bottom w:val="single" w:sz="4" w:space="0" w:color="auto"/>
              <w:right w:val="single" w:sz="4" w:space="0" w:color="auto"/>
            </w:tcBorders>
          </w:tcPr>
          <w:p w:rsidR="00897D96" w:rsidRDefault="00613949">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r>
      <w:tr w:rsidR="00897D96">
        <w:tc>
          <w:tcPr>
            <w:tcW w:w="1101" w:type="dxa"/>
            <w:tcBorders>
              <w:top w:val="single" w:sz="4" w:space="0" w:color="auto"/>
              <w:left w:val="single" w:sz="4" w:space="0" w:color="auto"/>
              <w:bottom w:val="single" w:sz="4" w:space="0" w:color="auto"/>
              <w:right w:val="single" w:sz="4" w:space="0" w:color="auto"/>
            </w:tcBorders>
          </w:tcPr>
          <w:p w:rsidR="00897D96" w:rsidRDefault="00613949">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7D96" w:rsidRDefault="00897D96">
            <w:pPr>
              <w:kinsoku w:val="0"/>
              <w:overflowPunct w:val="0"/>
              <w:autoSpaceDE w:val="0"/>
              <w:autoSpaceDN w:val="0"/>
              <w:spacing w:line="300" w:lineRule="auto"/>
              <w:jc w:val="center"/>
              <w:rPr>
                <w:rFonts w:ascii="仿宋_GB2312" w:eastAsia="仿宋_GB2312" w:hAnsiTheme="minorEastAsia"/>
                <w:sz w:val="24"/>
                <w:szCs w:val="24"/>
              </w:rPr>
            </w:pPr>
          </w:p>
        </w:tc>
      </w:tr>
    </w:tbl>
    <w:p w:rsidR="00897D96" w:rsidRDefault="00897D96">
      <w:pPr>
        <w:snapToGrid w:val="0"/>
        <w:spacing w:line="360" w:lineRule="auto"/>
        <w:rPr>
          <w:rFonts w:ascii="仿宋_GB2312" w:eastAsia="仿宋_GB2312"/>
          <w:b/>
          <w:sz w:val="24"/>
          <w:szCs w:val="24"/>
          <w:highlight w:val="yellow"/>
        </w:rPr>
      </w:pPr>
    </w:p>
    <w:p w:rsidR="00897D96" w:rsidRDefault="00613949">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.影响投资者决策的其他重要信息</w:t>
      </w:r>
    </w:p>
    <w:p w:rsidR="00897D96" w:rsidRDefault="00613949">
      <w:pPr>
        <w:rPr>
          <w:rFonts w:ascii="仿宋_GB2312" w:eastAsia="仿宋_GB2312"/>
          <w:sz w:val="24"/>
          <w:szCs w:val="24"/>
        </w:rPr>
      </w:pPr>
      <w:r>
        <w:rPr>
          <w:rFonts w:ascii="仿宋_GB2312" w:eastAsia="仿宋_GB2312" w:hint="eastAsia"/>
          <w:sz w:val="24"/>
          <w:szCs w:val="24"/>
        </w:rPr>
        <w:t>无。</w:t>
      </w:r>
    </w:p>
    <w:p w:rsidR="00897D96" w:rsidRDefault="00613949">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897D96" w:rsidRDefault="00613949">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897D96" w:rsidRDefault="00613949">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897D96" w:rsidRDefault="00613949">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897D96" w:rsidRDefault="00897D96">
      <w:pPr>
        <w:rPr>
          <w:rFonts w:ascii="仿宋_GB2312" w:eastAsia="仿宋_GB2312"/>
          <w:sz w:val="24"/>
          <w:szCs w:val="24"/>
        </w:rPr>
      </w:pPr>
    </w:p>
    <w:p w:rsidR="00897D96" w:rsidRDefault="00613949">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897D96" w:rsidRDefault="00613949">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897D96" w:rsidRDefault="00613949">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897D96" w:rsidRDefault="00613949">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897D96" w:rsidRDefault="00613949">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897D96" w:rsidRDefault="00613949">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897D96" w:rsidRDefault="00613949">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897D96" w:rsidRDefault="00613949">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897D96" w:rsidRDefault="00613949">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897D96" w:rsidRDefault="00613949">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lastRenderedPageBreak/>
        <w:t>浦发银行官方网站：</w:t>
      </w:r>
      <w:hyperlink r:id="rId8" w:history="1">
        <w:r>
          <w:rPr>
            <w:rStyle w:val="a7"/>
            <w:rFonts w:ascii="仿宋_GB2312" w:eastAsia="仿宋_GB2312" w:hint="eastAsia"/>
            <w:sz w:val="24"/>
            <w:szCs w:val="24"/>
          </w:rPr>
          <w:t>http://www.spdb.com.cn/</w:t>
        </w:r>
      </w:hyperlink>
    </w:p>
    <w:sectPr w:rsidR="00897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D0" w:rsidRDefault="009301D0">
      <w:r>
        <w:separator/>
      </w:r>
    </w:p>
  </w:endnote>
  <w:endnote w:type="continuationSeparator" w:id="0">
    <w:p w:rsidR="009301D0" w:rsidRDefault="0093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D0" w:rsidRDefault="009301D0">
      <w:r>
        <w:separator/>
      </w:r>
    </w:p>
  </w:footnote>
  <w:footnote w:type="continuationSeparator" w:id="0">
    <w:p w:rsidR="009301D0" w:rsidRDefault="009301D0">
      <w:r>
        <w:continuationSeparator/>
      </w:r>
    </w:p>
  </w:footnote>
  <w:footnote w:id="1">
    <w:p w:rsidR="00897D96" w:rsidRDefault="00613949">
      <w:pPr>
        <w:pStyle w:val="a5"/>
      </w:pPr>
      <w:r>
        <w:rPr>
          <w:rStyle w:val="a8"/>
        </w:rPr>
        <w:footnoteRef/>
      </w:r>
      <w:r>
        <w:rPr>
          <w:rFonts w:hint="eastAsia"/>
          <w:sz w:val="15"/>
          <w:szCs w:val="15"/>
        </w:rPr>
        <w:t>产品登记编码指本产品在全国银行理财信息登记系统获取的登记编码。</w:t>
      </w:r>
    </w:p>
  </w:footnote>
  <w:footnote w:id="2">
    <w:p w:rsidR="00897D96" w:rsidRDefault="00613949">
      <w:pPr>
        <w:pStyle w:val="a5"/>
        <w:rPr>
          <w:sz w:val="15"/>
          <w:szCs w:val="15"/>
        </w:rPr>
      </w:pPr>
      <w:r>
        <w:rPr>
          <w:rStyle w:val="a8"/>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A1996"/>
    <w:rsid w:val="003F480F"/>
    <w:rsid w:val="00400A77"/>
    <w:rsid w:val="0041011E"/>
    <w:rsid w:val="0041666B"/>
    <w:rsid w:val="0042245C"/>
    <w:rsid w:val="00442040"/>
    <w:rsid w:val="0048092C"/>
    <w:rsid w:val="004E272F"/>
    <w:rsid w:val="00557251"/>
    <w:rsid w:val="00564E1C"/>
    <w:rsid w:val="0058623B"/>
    <w:rsid w:val="005B0E63"/>
    <w:rsid w:val="00613949"/>
    <w:rsid w:val="006304A5"/>
    <w:rsid w:val="006B4FA4"/>
    <w:rsid w:val="006E00B8"/>
    <w:rsid w:val="007167B6"/>
    <w:rsid w:val="00781652"/>
    <w:rsid w:val="007D042E"/>
    <w:rsid w:val="007E2254"/>
    <w:rsid w:val="00897D96"/>
    <w:rsid w:val="008D4921"/>
    <w:rsid w:val="009027FB"/>
    <w:rsid w:val="009301D0"/>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E1F30"/>
    <w:rsid w:val="00DE496A"/>
    <w:rsid w:val="00E50BC3"/>
    <w:rsid w:val="00E61C1A"/>
    <w:rsid w:val="00E63347"/>
    <w:rsid w:val="00E85002"/>
    <w:rsid w:val="00EA06DA"/>
    <w:rsid w:val="00F864D2"/>
    <w:rsid w:val="00FB1262"/>
    <w:rsid w:val="00FB4D10"/>
    <w:rsid w:val="00FC64B6"/>
    <w:rsid w:val="6719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lsdException w:name="footer" w:semiHidden="0"/>
    <w:lsdException w:name="caption" w:uiPriority="35" w:qFormat="1"/>
    <w:lsdException w:name="footnote reference"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简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footnote text"/>
    <w:basedOn w:val="a"/>
    <w:link w:val="Char1"/>
    <w:uiPriority w:val="99"/>
    <w:semiHidden/>
    <w:qFormat/>
    <w:pPr>
      <w:snapToGrid w:val="0"/>
      <w:jc w:val="left"/>
    </w:pPr>
    <w:rPr>
      <w:rFonts w:eastAsia="宋体"/>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7">
    <w:name w:val="Hyperlink"/>
    <w:basedOn w:val="a0"/>
    <w:uiPriority w:val="99"/>
    <w:semiHidden/>
    <w:unhideWhenUsed/>
    <w:qFormat/>
    <w:rPr>
      <w:color w:val="0000FF"/>
      <w:u w:val="single"/>
    </w:rPr>
  </w:style>
  <w:style w:type="character" w:styleId="a8">
    <w:name w:val="footnote reference"/>
    <w:uiPriority w:val="99"/>
    <w:semiHidden/>
    <w:qFormat/>
    <w:rPr>
      <w:vertAlign w:val="superscript"/>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Char1">
    <w:name w:val="脚注文本 Char"/>
    <w:basedOn w:val="a0"/>
    <w:link w:val="a5"/>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lsdException w:name="footer" w:semiHidden="0"/>
    <w:lsdException w:name="caption" w:uiPriority="35" w:qFormat="1"/>
    <w:lsdException w:name="footnote reference"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简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footnote text"/>
    <w:basedOn w:val="a"/>
    <w:link w:val="Char1"/>
    <w:uiPriority w:val="99"/>
    <w:semiHidden/>
    <w:qFormat/>
    <w:pPr>
      <w:snapToGrid w:val="0"/>
      <w:jc w:val="left"/>
    </w:pPr>
    <w:rPr>
      <w:rFonts w:eastAsia="宋体"/>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7">
    <w:name w:val="Hyperlink"/>
    <w:basedOn w:val="a0"/>
    <w:uiPriority w:val="99"/>
    <w:semiHidden/>
    <w:unhideWhenUsed/>
    <w:qFormat/>
    <w:rPr>
      <w:color w:val="0000FF"/>
      <w:u w:val="single"/>
    </w:rPr>
  </w:style>
  <w:style w:type="character" w:styleId="a8">
    <w:name w:val="footnote reference"/>
    <w:uiPriority w:val="99"/>
    <w:semiHidden/>
    <w:qFormat/>
    <w:rPr>
      <w:vertAlign w:val="superscript"/>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Char1">
    <w:name w:val="脚注文本 Char"/>
    <w:basedOn w:val="a0"/>
    <w:link w:val="a5"/>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d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成扬</cp:lastModifiedBy>
  <cp:revision>5</cp:revision>
  <dcterms:created xsi:type="dcterms:W3CDTF">2020-10-13T09:05:00Z</dcterms:created>
  <dcterms:modified xsi:type="dcterms:W3CDTF">2020-10-15T11:23:00Z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