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462" w:rsidRDefault="00243DE7">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B63462" w:rsidRDefault="00243DE7">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B63462">
        <w:trPr>
          <w:trHeight w:val="2514"/>
        </w:trPr>
        <w:tc>
          <w:tcPr>
            <w:tcW w:w="9072" w:type="dxa"/>
            <w:tcMar>
              <w:top w:w="0" w:type="dxa"/>
              <w:left w:w="108" w:type="dxa"/>
              <w:bottom w:w="0" w:type="dxa"/>
              <w:right w:w="108" w:type="dxa"/>
            </w:tcMar>
          </w:tcPr>
          <w:p w:rsidR="00B63462" w:rsidRDefault="00243DE7">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B63462" w:rsidRDefault="00243DE7">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B63462" w:rsidRDefault="00243DE7">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B63462" w:rsidRDefault="00243DE7">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B63462" w:rsidRDefault="00243DE7">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B63462" w:rsidRDefault="00243DE7">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B63462">
        <w:tc>
          <w:tcPr>
            <w:tcW w:w="4219" w:type="dxa"/>
            <w:tcMar>
              <w:top w:w="0" w:type="dxa"/>
              <w:left w:w="108" w:type="dxa"/>
              <w:bottom w:w="0" w:type="dxa"/>
              <w:right w:w="108" w:type="dxa"/>
            </w:tcMar>
            <w:vAlign w:val="center"/>
          </w:tcPr>
          <w:p w:rsidR="00B63462" w:rsidRDefault="00243DE7">
            <w:pPr>
              <w:snapToGrid w:val="0"/>
              <w:spacing w:line="360" w:lineRule="auto"/>
              <w:ind w:firstLine="480"/>
              <w:jc w:val="center"/>
              <w:rPr>
                <w:rFonts w:ascii="仿宋_GB2312" w:eastAsia="仿宋_GB2312" w:hAnsi="Calibri" w:cs="宋体"/>
                <w:color w:val="FF0000"/>
                <w:sz w:val="24"/>
                <w:szCs w:val="24"/>
              </w:rPr>
            </w:pPr>
            <w:r>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B63462" w:rsidRDefault="00243DE7">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浦发银行</w:t>
            </w:r>
            <w:proofErr w:type="gramStart"/>
            <w:r>
              <w:rPr>
                <w:rFonts w:ascii="仿宋_GB2312" w:eastAsia="仿宋_GB2312" w:hAnsi="Calibri" w:cs="宋体"/>
                <w:color w:val="000000"/>
                <w:sz w:val="24"/>
                <w:szCs w:val="24"/>
              </w:rPr>
              <w:t>鑫</w:t>
            </w:r>
            <w:proofErr w:type="gramEnd"/>
            <w:r>
              <w:rPr>
                <w:rFonts w:ascii="仿宋_GB2312" w:eastAsia="仿宋_GB2312" w:hAnsi="Calibri" w:cs="宋体"/>
                <w:color w:val="000000"/>
                <w:sz w:val="24"/>
                <w:szCs w:val="24"/>
              </w:rPr>
              <w:t>盈利系列</w:t>
            </w:r>
            <w:r>
              <w:rPr>
                <w:rFonts w:ascii="仿宋_GB2312" w:eastAsia="仿宋_GB2312" w:hAnsi="Calibri" w:cs="宋体"/>
                <w:color w:val="000000"/>
                <w:sz w:val="24"/>
                <w:szCs w:val="24"/>
              </w:rPr>
              <w:t>1</w:t>
            </w:r>
            <w:r>
              <w:rPr>
                <w:rFonts w:ascii="仿宋_GB2312" w:eastAsia="仿宋_GB2312" w:hAnsi="Calibri" w:cs="宋体"/>
                <w:color w:val="000000"/>
                <w:sz w:val="24"/>
                <w:szCs w:val="24"/>
              </w:rPr>
              <w:t>年定开</w:t>
            </w:r>
            <w:r>
              <w:rPr>
                <w:rFonts w:ascii="仿宋_GB2312" w:eastAsia="仿宋_GB2312" w:hAnsi="Calibri" w:cs="宋体"/>
                <w:color w:val="000000"/>
                <w:sz w:val="24"/>
                <w:szCs w:val="24"/>
              </w:rPr>
              <w:t>7</w:t>
            </w:r>
            <w:r>
              <w:rPr>
                <w:rFonts w:ascii="仿宋_GB2312" w:eastAsia="仿宋_GB2312" w:hAnsi="Calibri" w:cs="宋体"/>
                <w:color w:val="000000"/>
                <w:sz w:val="24"/>
                <w:szCs w:val="24"/>
              </w:rPr>
              <w:t>号理财产品</w:t>
            </w:r>
          </w:p>
        </w:tc>
      </w:tr>
      <w:tr w:rsidR="00B63462">
        <w:tblPrEx>
          <w:tblBorders>
            <w:bottom w:val="single" w:sz="4" w:space="0" w:color="auto"/>
          </w:tblBorders>
        </w:tblPrEx>
        <w:tc>
          <w:tcPr>
            <w:tcW w:w="4219" w:type="dxa"/>
            <w:tcMar>
              <w:top w:w="0" w:type="dxa"/>
              <w:left w:w="108" w:type="dxa"/>
              <w:bottom w:w="0" w:type="dxa"/>
              <w:right w:w="108" w:type="dxa"/>
            </w:tcMar>
            <w:vAlign w:val="center"/>
          </w:tcPr>
          <w:p w:rsidR="00B63462" w:rsidRDefault="00243DE7">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B63462" w:rsidRDefault="00243DE7">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2301202507(</w:t>
            </w:r>
            <w:r>
              <w:rPr>
                <w:rFonts w:ascii="仿宋_GB2312" w:eastAsia="仿宋_GB2312" w:hAnsi="Calibri" w:cs="宋体"/>
                <w:color w:val="000000"/>
                <w:sz w:val="24"/>
                <w:szCs w:val="24"/>
              </w:rPr>
              <w:t>销售代码</w:t>
            </w:r>
            <w:r>
              <w:rPr>
                <w:rFonts w:ascii="仿宋_GB2312" w:eastAsia="仿宋_GB2312" w:hAnsi="Calibri" w:cs="宋体"/>
                <w:color w:val="000000"/>
                <w:sz w:val="24"/>
                <w:szCs w:val="24"/>
              </w:rPr>
              <w:t>:2301202820/2301202821/2301202822/2301202823)</w:t>
            </w:r>
          </w:p>
        </w:tc>
      </w:tr>
      <w:tr w:rsidR="00B63462">
        <w:tblPrEx>
          <w:tblBorders>
            <w:top w:val="none" w:sz="0" w:space="0" w:color="auto"/>
          </w:tblBorders>
        </w:tblPrEx>
        <w:tc>
          <w:tcPr>
            <w:tcW w:w="4219" w:type="dxa"/>
            <w:tcMar>
              <w:top w:w="0" w:type="dxa"/>
              <w:left w:w="108" w:type="dxa"/>
              <w:bottom w:w="0" w:type="dxa"/>
              <w:right w:w="108" w:type="dxa"/>
            </w:tcMar>
            <w:vAlign w:val="center"/>
          </w:tcPr>
          <w:p w:rsidR="00B63462" w:rsidRDefault="00243DE7">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产品登记编码</w:t>
            </w:r>
            <w:r>
              <w:rPr>
                <w:rStyle w:val="a8"/>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B63462" w:rsidRDefault="00243DE7">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C1031020000007</w:t>
            </w:r>
          </w:p>
        </w:tc>
      </w:tr>
      <w:tr w:rsidR="00B63462">
        <w:tblPrEx>
          <w:tblBorders>
            <w:bottom w:val="single" w:sz="4" w:space="0" w:color="auto"/>
          </w:tblBorders>
        </w:tblPrEx>
        <w:tc>
          <w:tcPr>
            <w:tcW w:w="4219" w:type="dxa"/>
            <w:tcMar>
              <w:top w:w="0" w:type="dxa"/>
              <w:left w:w="108" w:type="dxa"/>
              <w:bottom w:w="0" w:type="dxa"/>
              <w:right w:w="108" w:type="dxa"/>
            </w:tcMar>
            <w:vAlign w:val="center"/>
          </w:tcPr>
          <w:p w:rsidR="00B63462" w:rsidRDefault="00243DE7">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B63462" w:rsidRDefault="00243DE7">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B63462">
        <w:tblPrEx>
          <w:tblBorders>
            <w:bottom w:val="single" w:sz="4" w:space="0" w:color="auto"/>
          </w:tblBorders>
        </w:tblPrEx>
        <w:tc>
          <w:tcPr>
            <w:tcW w:w="4219" w:type="dxa"/>
            <w:tcMar>
              <w:top w:w="0" w:type="dxa"/>
              <w:left w:w="108" w:type="dxa"/>
              <w:bottom w:w="0" w:type="dxa"/>
              <w:right w:w="108" w:type="dxa"/>
            </w:tcMar>
            <w:vAlign w:val="center"/>
          </w:tcPr>
          <w:p w:rsidR="00B63462" w:rsidRDefault="00243DE7">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B63462" w:rsidRDefault="00243DE7">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2020-06-18</w:t>
            </w:r>
          </w:p>
        </w:tc>
      </w:tr>
      <w:tr w:rsidR="00B63462">
        <w:tblPrEx>
          <w:tblBorders>
            <w:bottom w:val="single" w:sz="4" w:space="0" w:color="auto"/>
          </w:tblBorders>
        </w:tblPrEx>
        <w:tc>
          <w:tcPr>
            <w:tcW w:w="4219" w:type="dxa"/>
            <w:tcMar>
              <w:top w:w="0" w:type="dxa"/>
              <w:left w:w="108" w:type="dxa"/>
              <w:bottom w:w="0" w:type="dxa"/>
              <w:right w:w="108" w:type="dxa"/>
            </w:tcMar>
            <w:vAlign w:val="center"/>
          </w:tcPr>
          <w:p w:rsidR="00B63462" w:rsidRDefault="00243DE7">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B63462" w:rsidRDefault="00243DE7">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97,944,000.00</w:t>
            </w:r>
          </w:p>
        </w:tc>
      </w:tr>
      <w:tr w:rsidR="00B63462">
        <w:tblPrEx>
          <w:tblBorders>
            <w:bottom w:val="single" w:sz="4" w:space="0" w:color="auto"/>
          </w:tblBorders>
        </w:tblPrEx>
        <w:tc>
          <w:tcPr>
            <w:tcW w:w="4219" w:type="dxa"/>
            <w:tcMar>
              <w:top w:w="0" w:type="dxa"/>
              <w:left w:w="108" w:type="dxa"/>
              <w:bottom w:w="0" w:type="dxa"/>
              <w:right w:w="108" w:type="dxa"/>
            </w:tcMar>
            <w:vAlign w:val="center"/>
          </w:tcPr>
          <w:p w:rsidR="00B63462" w:rsidRDefault="00243DE7">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B63462" w:rsidRDefault="00243DE7">
            <w:pPr>
              <w:adjustRightInd w:val="0"/>
              <w:snapToGrid w:val="0"/>
              <w:spacing w:line="360" w:lineRule="auto"/>
              <w:ind w:firstLine="420"/>
              <w:jc w:val="center"/>
              <w:rPr>
                <w:rFonts w:ascii="仿宋_GB2312" w:eastAsia="仿宋_GB2312" w:hAnsiTheme="minorEastAsia" w:cs="宋体"/>
                <w:color w:val="000000"/>
                <w:sz w:val="24"/>
                <w:szCs w:val="24"/>
              </w:rPr>
            </w:pPr>
            <w:r w:rsidRPr="00F25388">
              <w:rPr>
                <w:rFonts w:ascii="仿宋_GB2312" w:eastAsia="仿宋_GB2312" w:hAnsiTheme="minorEastAsia" w:cs="宋体"/>
                <w:color w:val="000000"/>
                <w:sz w:val="24"/>
                <w:szCs w:val="24"/>
              </w:rPr>
              <w:t>100.11%</w:t>
            </w:r>
            <w:bookmarkStart w:id="0" w:name="_GoBack"/>
            <w:bookmarkEnd w:id="0"/>
          </w:p>
        </w:tc>
      </w:tr>
      <w:tr w:rsidR="00B63462">
        <w:tblPrEx>
          <w:tblBorders>
            <w:bottom w:val="single" w:sz="4" w:space="0" w:color="auto"/>
          </w:tblBorders>
        </w:tblPrEx>
        <w:tc>
          <w:tcPr>
            <w:tcW w:w="4219" w:type="dxa"/>
            <w:tcMar>
              <w:top w:w="0" w:type="dxa"/>
              <w:left w:w="108" w:type="dxa"/>
              <w:bottom w:w="0" w:type="dxa"/>
              <w:right w:w="108" w:type="dxa"/>
            </w:tcMar>
            <w:vAlign w:val="center"/>
          </w:tcPr>
          <w:p w:rsidR="00B63462" w:rsidRDefault="00243DE7">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B63462" w:rsidRDefault="00243DE7">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2301202820 : 3.35%-4.35%</w:t>
            </w:r>
            <w:r>
              <w:rPr>
                <w:rFonts w:ascii="仿宋_GB2312" w:eastAsia="仿宋_GB2312" w:hAnsi="Calibri" w:cs="宋体"/>
                <w:color w:val="000000"/>
                <w:sz w:val="24"/>
                <w:szCs w:val="24"/>
              </w:rPr>
              <w:br/>
            </w:r>
            <w:r>
              <w:rPr>
                <w:rFonts w:ascii="仿宋_GB2312" w:eastAsia="仿宋_GB2312" w:hAnsi="Calibri" w:cs="宋体"/>
                <w:color w:val="000000"/>
                <w:sz w:val="24"/>
                <w:szCs w:val="24"/>
              </w:rPr>
              <w:t>2301202821 : 3.38%-4.38%</w:t>
            </w:r>
            <w:r>
              <w:rPr>
                <w:rFonts w:ascii="仿宋_GB2312" w:eastAsia="仿宋_GB2312" w:hAnsi="Calibri" w:cs="宋体"/>
                <w:color w:val="000000"/>
                <w:sz w:val="24"/>
                <w:szCs w:val="24"/>
              </w:rPr>
              <w:br/>
              <w:t>2301202822 : 3.40%-4.40%</w:t>
            </w:r>
            <w:r>
              <w:rPr>
                <w:rFonts w:ascii="仿宋_GB2312" w:eastAsia="仿宋_GB2312" w:hAnsi="Calibri" w:cs="宋体"/>
                <w:color w:val="000000"/>
                <w:sz w:val="24"/>
                <w:szCs w:val="24"/>
              </w:rPr>
              <w:br/>
              <w:t>2301202823 : 3.40%-4.40%</w:t>
            </w:r>
          </w:p>
        </w:tc>
      </w:tr>
      <w:tr w:rsidR="00B63462">
        <w:tblPrEx>
          <w:tblBorders>
            <w:bottom w:val="single" w:sz="4" w:space="0" w:color="auto"/>
          </w:tblBorders>
        </w:tblPrEx>
        <w:tc>
          <w:tcPr>
            <w:tcW w:w="4219" w:type="dxa"/>
            <w:tcMar>
              <w:top w:w="0" w:type="dxa"/>
              <w:left w:w="108" w:type="dxa"/>
              <w:bottom w:w="0" w:type="dxa"/>
              <w:right w:w="108" w:type="dxa"/>
            </w:tcMar>
            <w:vAlign w:val="center"/>
          </w:tcPr>
          <w:p w:rsidR="00B63462" w:rsidRDefault="00243DE7">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B63462" w:rsidRDefault="00243DE7">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B63462">
        <w:tblPrEx>
          <w:tblBorders>
            <w:bottom w:val="single" w:sz="4" w:space="0" w:color="auto"/>
          </w:tblBorders>
        </w:tblPrEx>
        <w:tc>
          <w:tcPr>
            <w:tcW w:w="4219" w:type="dxa"/>
            <w:tcMar>
              <w:top w:w="0" w:type="dxa"/>
              <w:left w:w="108" w:type="dxa"/>
              <w:bottom w:w="0" w:type="dxa"/>
              <w:right w:w="108" w:type="dxa"/>
            </w:tcMar>
            <w:vAlign w:val="center"/>
          </w:tcPr>
          <w:p w:rsidR="00B63462" w:rsidRDefault="00243DE7">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B63462" w:rsidRDefault="00243DE7">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B63462">
        <w:tblPrEx>
          <w:tblBorders>
            <w:bottom w:val="single" w:sz="4" w:space="0" w:color="auto"/>
          </w:tblBorders>
        </w:tblPrEx>
        <w:tc>
          <w:tcPr>
            <w:tcW w:w="4219" w:type="dxa"/>
            <w:tcMar>
              <w:top w:w="0" w:type="dxa"/>
              <w:left w:w="108" w:type="dxa"/>
              <w:bottom w:w="0" w:type="dxa"/>
              <w:right w:w="108" w:type="dxa"/>
            </w:tcMar>
            <w:vAlign w:val="center"/>
          </w:tcPr>
          <w:p w:rsidR="00B63462" w:rsidRDefault="00243DE7">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lastRenderedPageBreak/>
              <w:t>产品托管人</w:t>
            </w:r>
          </w:p>
        </w:tc>
        <w:tc>
          <w:tcPr>
            <w:tcW w:w="4853" w:type="dxa"/>
            <w:tcMar>
              <w:top w:w="0" w:type="dxa"/>
              <w:left w:w="108" w:type="dxa"/>
              <w:bottom w:w="0" w:type="dxa"/>
              <w:right w:w="108" w:type="dxa"/>
            </w:tcMar>
            <w:vAlign w:val="center"/>
          </w:tcPr>
          <w:p w:rsidR="00B63462" w:rsidRDefault="00243DE7">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w:t>
            </w:r>
            <w:r>
              <w:rPr>
                <w:rFonts w:ascii="仿宋_GB2312" w:eastAsia="仿宋_GB2312" w:hAnsiTheme="minorEastAsia" w:cs="宋体" w:hint="eastAsia"/>
                <w:color w:val="000000"/>
                <w:sz w:val="24"/>
                <w:szCs w:val="24"/>
              </w:rPr>
              <w:t>上海浦东发展银行</w:t>
            </w:r>
          </w:p>
        </w:tc>
      </w:tr>
    </w:tbl>
    <w:p w:rsidR="00B63462" w:rsidRDefault="00B63462">
      <w:pPr>
        <w:rPr>
          <w:rFonts w:ascii="仿宋_GB2312" w:eastAsia="仿宋_GB2312" w:hAnsi="Calibri"/>
          <w:sz w:val="24"/>
          <w:szCs w:val="24"/>
        </w:rPr>
      </w:pPr>
    </w:p>
    <w:p w:rsidR="00B63462" w:rsidRDefault="00243DE7">
      <w:pPr>
        <w:snapToGrid w:val="0"/>
        <w:spacing w:line="360" w:lineRule="auto"/>
        <w:rPr>
          <w:rFonts w:ascii="仿宋_GB2312" w:eastAsia="仿宋_GB2312"/>
          <w:b/>
          <w:sz w:val="24"/>
          <w:szCs w:val="24"/>
        </w:rPr>
      </w:pPr>
      <w:r>
        <w:rPr>
          <w:rFonts w:ascii="仿宋_GB2312" w:eastAsia="仿宋_GB2312" w:hint="eastAsia"/>
          <w:b/>
          <w:sz w:val="24"/>
          <w:szCs w:val="24"/>
        </w:rPr>
        <w:t>3</w:t>
      </w:r>
      <w:r>
        <w:rPr>
          <w:rFonts w:ascii="仿宋_GB2312" w:eastAsia="仿宋_GB2312"/>
          <w:b/>
          <w:sz w:val="24"/>
          <w:szCs w:val="24"/>
        </w:rPr>
        <w:t>.</w:t>
      </w:r>
      <w:r>
        <w:rPr>
          <w:rFonts w:ascii="仿宋_GB2312" w:eastAsia="仿宋_GB2312" w:hint="eastAsia"/>
          <w:b/>
          <w:sz w:val="24"/>
          <w:szCs w:val="24"/>
        </w:rPr>
        <w:t>产品净值表现</w:t>
      </w:r>
    </w:p>
    <w:p w:rsidR="00B63462" w:rsidRDefault="00243DE7">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 xml:space="preserve">3.1 </w:t>
      </w:r>
      <w:r>
        <w:rPr>
          <w:rFonts w:ascii="仿宋_GB2312" w:eastAsia="仿宋_GB2312" w:hint="eastAsia"/>
          <w:b/>
          <w:bCs/>
          <w:sz w:val="24"/>
          <w:szCs w:val="24"/>
        </w:rPr>
        <w:t>净值表现</w:t>
      </w:r>
    </w:p>
    <w:p w:rsidR="00B63462" w:rsidRDefault="00243DE7">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9"/>
        <w:tblW w:w="9072" w:type="dxa"/>
        <w:tblLayout w:type="fixed"/>
        <w:tblLook w:val="04A0" w:firstRow="1" w:lastRow="0" w:firstColumn="1" w:lastColumn="0" w:noHBand="0" w:noVBand="1"/>
      </w:tblPr>
      <w:tblGrid>
        <w:gridCol w:w="4361"/>
        <w:gridCol w:w="4711"/>
      </w:tblGrid>
      <w:tr w:rsidR="00B63462">
        <w:tc>
          <w:tcPr>
            <w:tcW w:w="4361" w:type="dxa"/>
          </w:tcPr>
          <w:p w:rsidR="00B63462" w:rsidRDefault="00243DE7">
            <w:pPr>
              <w:pStyle w:val="a6"/>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B63462" w:rsidRDefault="00243DE7">
            <w:pPr>
              <w:snapToGrid w:val="0"/>
              <w:spacing w:line="360" w:lineRule="auto"/>
              <w:ind w:firstLineChars="200" w:firstLine="480"/>
              <w:jc w:val="center"/>
              <w:rPr>
                <w:rFonts w:ascii="仿宋_GB2312" w:eastAsia="仿宋_GB2312" w:hAnsi="Calibri" w:cs="宋体"/>
                <w:color w:val="000000"/>
                <w:kern w:val="0"/>
                <w:sz w:val="24"/>
                <w:szCs w:val="24"/>
              </w:rPr>
            </w:pPr>
            <w:r>
              <w:rPr>
                <w:rFonts w:ascii="仿宋_GB2312" w:eastAsia="仿宋_GB2312" w:hint="eastAsia"/>
                <w:color w:val="000000"/>
                <w:kern w:val="0"/>
                <w:sz w:val="24"/>
                <w:szCs w:val="24"/>
              </w:rPr>
              <w:t>报告期（</w:t>
            </w:r>
            <w:r>
              <w:rPr>
                <w:rFonts w:ascii="仿宋_GB2312" w:eastAsia="仿宋_GB2312" w:hint="eastAsia"/>
                <w:color w:val="000000"/>
                <w:kern w:val="0"/>
                <w:sz w:val="24"/>
                <w:szCs w:val="24"/>
              </w:rPr>
              <w:t>2020-07-01</w:t>
            </w:r>
            <w:r>
              <w:rPr>
                <w:rFonts w:ascii="仿宋_GB2312" w:eastAsia="仿宋_GB2312" w:hint="eastAsia"/>
                <w:color w:val="000000"/>
                <w:kern w:val="0"/>
                <w:sz w:val="24"/>
                <w:szCs w:val="24"/>
              </w:rPr>
              <w:t>至</w:t>
            </w:r>
            <w:r>
              <w:rPr>
                <w:rFonts w:ascii="仿宋_GB2312" w:eastAsia="仿宋_GB2312" w:hint="eastAsia"/>
                <w:color w:val="000000"/>
                <w:kern w:val="0"/>
                <w:sz w:val="24"/>
                <w:szCs w:val="24"/>
              </w:rPr>
              <w:t>2020-09-30</w:t>
            </w:r>
            <w:r>
              <w:rPr>
                <w:rFonts w:ascii="仿宋_GB2312" w:eastAsia="仿宋_GB2312" w:hint="eastAsia"/>
                <w:color w:val="000000"/>
                <w:kern w:val="0"/>
                <w:sz w:val="24"/>
                <w:szCs w:val="24"/>
              </w:rPr>
              <w:t>）</w:t>
            </w:r>
          </w:p>
        </w:tc>
      </w:tr>
      <w:tr w:rsidR="00B63462">
        <w:tc>
          <w:tcPr>
            <w:tcW w:w="4361" w:type="dxa"/>
          </w:tcPr>
          <w:p w:rsidR="00B63462" w:rsidRDefault="00243DE7">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w:t>
            </w:r>
            <w:r>
              <w:rPr>
                <w:rFonts w:ascii="仿宋_GB2312" w:eastAsia="仿宋_GB2312" w:hint="eastAsia"/>
                <w:kern w:val="2"/>
              </w:rPr>
              <w:t>期末产品资产净值</w:t>
            </w:r>
          </w:p>
        </w:tc>
        <w:tc>
          <w:tcPr>
            <w:tcW w:w="4711" w:type="dxa"/>
          </w:tcPr>
          <w:p w:rsidR="00B63462" w:rsidRDefault="00243DE7">
            <w:pPr>
              <w:snapToGrid w:val="0"/>
              <w:spacing w:line="360" w:lineRule="auto"/>
              <w:jc w:val="left"/>
              <w:rPr>
                <w:rFonts w:ascii="仿宋_GB2312" w:eastAsia="仿宋_GB2312" w:hAnsi="Calibri" w:cs="宋体"/>
                <w:color w:val="000000"/>
                <w:kern w:val="0"/>
                <w:sz w:val="24"/>
                <w:szCs w:val="24"/>
              </w:rPr>
            </w:pPr>
            <w:r>
              <w:rPr>
                <w:rFonts w:ascii="仿宋_GB2312" w:eastAsia="仿宋_GB2312" w:hAnsi="Calibri" w:cs="宋体"/>
                <w:color w:val="000000"/>
                <w:kern w:val="0"/>
                <w:sz w:val="24"/>
                <w:szCs w:val="24"/>
              </w:rPr>
              <w:t>2301202820 : 86,381,725.10</w:t>
            </w:r>
            <w:r>
              <w:rPr>
                <w:rFonts w:ascii="仿宋_GB2312" w:eastAsia="仿宋_GB2312" w:hAnsi="Calibri" w:cs="宋体"/>
                <w:color w:val="000000"/>
                <w:kern w:val="0"/>
                <w:sz w:val="24"/>
                <w:szCs w:val="24"/>
              </w:rPr>
              <w:br/>
              <w:t>2301202821 : 10,457,804.09</w:t>
            </w:r>
            <w:r>
              <w:rPr>
                <w:rFonts w:ascii="仿宋_GB2312" w:eastAsia="仿宋_GB2312" w:hAnsi="Calibri" w:cs="宋体"/>
                <w:color w:val="000000"/>
                <w:kern w:val="0"/>
                <w:sz w:val="24"/>
                <w:szCs w:val="24"/>
              </w:rPr>
              <w:br/>
              <w:t>2301202822 : 1,955,086.16</w:t>
            </w:r>
          </w:p>
        </w:tc>
      </w:tr>
      <w:tr w:rsidR="00B63462">
        <w:trPr>
          <w:trHeight w:val="158"/>
        </w:trPr>
        <w:tc>
          <w:tcPr>
            <w:tcW w:w="4361" w:type="dxa"/>
          </w:tcPr>
          <w:p w:rsidR="00B63462" w:rsidRDefault="00243DE7">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w:t>
            </w:r>
            <w:r>
              <w:rPr>
                <w:rFonts w:ascii="仿宋_GB2312" w:eastAsia="仿宋_GB2312" w:hint="eastAsia"/>
                <w:kern w:val="2"/>
              </w:rPr>
              <w:t>期末产品份额净值</w:t>
            </w:r>
          </w:p>
        </w:tc>
        <w:tc>
          <w:tcPr>
            <w:tcW w:w="4711" w:type="dxa"/>
          </w:tcPr>
          <w:p w:rsidR="00B63462" w:rsidRDefault="00243DE7">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2301202820 : 1.0087</w:t>
            </w:r>
            <w:r>
              <w:rPr>
                <w:rFonts w:ascii="仿宋_GB2312" w:eastAsia="仿宋_GB2312" w:hAnsi="Calibri" w:cs="宋体"/>
                <w:color w:val="000000"/>
                <w:kern w:val="0"/>
                <w:sz w:val="24"/>
                <w:szCs w:val="24"/>
              </w:rPr>
              <w:br/>
              <w:t>2301202821 : 1.0088</w:t>
            </w:r>
            <w:r>
              <w:rPr>
                <w:rFonts w:ascii="仿宋_GB2312" w:eastAsia="仿宋_GB2312" w:hAnsi="Calibri" w:cs="宋体"/>
                <w:color w:val="000000"/>
                <w:kern w:val="0"/>
                <w:sz w:val="24"/>
                <w:szCs w:val="24"/>
              </w:rPr>
              <w:br/>
              <w:t>2301202822 : 1.0088</w:t>
            </w:r>
          </w:p>
        </w:tc>
      </w:tr>
      <w:tr w:rsidR="00B63462">
        <w:trPr>
          <w:trHeight w:val="158"/>
        </w:trPr>
        <w:tc>
          <w:tcPr>
            <w:tcW w:w="4361" w:type="dxa"/>
          </w:tcPr>
          <w:p w:rsidR="00B63462" w:rsidRDefault="00243DE7">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w:t>
            </w:r>
            <w:r>
              <w:rPr>
                <w:rFonts w:ascii="仿宋_GB2312" w:eastAsia="仿宋_GB2312" w:hint="eastAsia"/>
                <w:kern w:val="2"/>
              </w:rPr>
              <w:t>期末产品份额累计净值</w:t>
            </w:r>
          </w:p>
        </w:tc>
        <w:tc>
          <w:tcPr>
            <w:tcW w:w="4711" w:type="dxa"/>
          </w:tcPr>
          <w:p w:rsidR="00B63462" w:rsidRDefault="00243DE7">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2301202820 : 1.0087</w:t>
            </w:r>
            <w:r>
              <w:rPr>
                <w:rFonts w:ascii="仿宋_GB2312" w:eastAsia="仿宋_GB2312" w:hAnsi="Calibri" w:cs="宋体"/>
                <w:color w:val="000000"/>
                <w:kern w:val="0"/>
                <w:sz w:val="24"/>
                <w:szCs w:val="24"/>
              </w:rPr>
              <w:br/>
              <w:t>2301202821 : 1.0088</w:t>
            </w:r>
            <w:r>
              <w:rPr>
                <w:rFonts w:ascii="仿宋_GB2312" w:eastAsia="仿宋_GB2312" w:hAnsi="Calibri" w:cs="宋体"/>
                <w:color w:val="000000"/>
                <w:kern w:val="0"/>
                <w:sz w:val="24"/>
                <w:szCs w:val="24"/>
              </w:rPr>
              <w:br/>
              <w:t xml:space="preserve">2301202822 </w:t>
            </w:r>
            <w:r>
              <w:rPr>
                <w:rFonts w:ascii="仿宋_GB2312" w:eastAsia="仿宋_GB2312" w:hAnsi="Calibri" w:cs="宋体"/>
                <w:color w:val="000000"/>
                <w:kern w:val="0"/>
                <w:sz w:val="24"/>
                <w:szCs w:val="24"/>
              </w:rPr>
              <w:t>: 1.0088</w:t>
            </w:r>
          </w:p>
        </w:tc>
      </w:tr>
      <w:tr w:rsidR="00B63462">
        <w:trPr>
          <w:trHeight w:val="158"/>
        </w:trPr>
        <w:tc>
          <w:tcPr>
            <w:tcW w:w="4361" w:type="dxa"/>
          </w:tcPr>
          <w:p w:rsidR="00B63462" w:rsidRDefault="00243DE7">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Pr>
                <w:rFonts w:ascii="仿宋_GB2312" w:eastAsia="仿宋_GB2312"/>
                <w:kern w:val="2"/>
              </w:rPr>
              <w:t>.</w:t>
            </w:r>
            <w:r>
              <w:rPr>
                <w:rFonts w:ascii="仿宋_GB2312" w:eastAsia="仿宋_GB2312" w:hint="eastAsia"/>
                <w:kern w:val="2"/>
              </w:rPr>
              <w:t>每万份收益</w:t>
            </w:r>
          </w:p>
        </w:tc>
        <w:tc>
          <w:tcPr>
            <w:tcW w:w="4711" w:type="dxa"/>
          </w:tcPr>
          <w:p w:rsidR="00B63462" w:rsidRDefault="00243DE7">
            <w:pPr>
              <w:snapToGrid w:val="0"/>
              <w:spacing w:line="360" w:lineRule="auto"/>
              <w:jc w:val="left"/>
              <w:rPr>
                <w:rFonts w:ascii="仿宋_GB2312" w:eastAsia="仿宋_GB2312"/>
                <w:color w:val="000000"/>
                <w:kern w:val="0"/>
                <w:sz w:val="24"/>
                <w:szCs w:val="24"/>
              </w:rPr>
            </w:pPr>
            <w:r>
              <w:rPr>
                <w:rFonts w:ascii="仿宋_GB2312" w:eastAsia="仿宋_GB2312" w:hAnsi="Calibri" w:cs="宋体"/>
                <w:color w:val="000000"/>
                <w:kern w:val="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B63462">
        <w:trPr>
          <w:trHeight w:val="158"/>
        </w:trPr>
        <w:tc>
          <w:tcPr>
            <w:tcW w:w="4361" w:type="dxa"/>
            <w:tcMar>
              <w:top w:w="0" w:type="dxa"/>
              <w:left w:w="108" w:type="dxa"/>
              <w:bottom w:w="0" w:type="dxa"/>
              <w:right w:w="108" w:type="dxa"/>
            </w:tcMar>
          </w:tcPr>
          <w:p w:rsidR="00B63462" w:rsidRDefault="00243DE7">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Pr>
                <w:rFonts w:ascii="仿宋_GB2312" w:eastAsia="仿宋_GB2312"/>
                <w:kern w:val="2"/>
              </w:rPr>
              <w:t>.</w:t>
            </w:r>
            <w:proofErr w:type="gramStart"/>
            <w:r>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B63462" w:rsidRDefault="00243DE7">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B63462" w:rsidRDefault="00243DE7">
      <w:pPr>
        <w:snapToGrid w:val="0"/>
        <w:spacing w:line="360" w:lineRule="auto"/>
        <w:rPr>
          <w:rFonts w:ascii="仿宋_GB2312" w:eastAsia="仿宋_GB2312"/>
          <w:b/>
          <w:sz w:val="24"/>
          <w:szCs w:val="24"/>
        </w:rPr>
      </w:pPr>
      <w:r>
        <w:rPr>
          <w:rFonts w:ascii="仿宋_GB2312" w:eastAsia="仿宋_GB2312" w:hint="eastAsia"/>
          <w:b/>
          <w:sz w:val="24"/>
          <w:szCs w:val="24"/>
        </w:rPr>
        <w:t>4.</w:t>
      </w:r>
      <w:r>
        <w:rPr>
          <w:rFonts w:ascii="仿宋_GB2312" w:eastAsia="仿宋_GB2312" w:hint="eastAsia"/>
          <w:b/>
          <w:sz w:val="24"/>
          <w:szCs w:val="24"/>
        </w:rPr>
        <w:t>投资组合报告</w:t>
      </w:r>
    </w:p>
    <w:p w:rsidR="00B63462" w:rsidRDefault="00243DE7">
      <w:pPr>
        <w:spacing w:line="360" w:lineRule="auto"/>
        <w:ind w:firstLine="482"/>
        <w:rPr>
          <w:rFonts w:ascii="仿宋_GB2312" w:eastAsia="仿宋_GB2312"/>
          <w:b/>
          <w:bCs/>
          <w:sz w:val="24"/>
          <w:szCs w:val="24"/>
        </w:rPr>
      </w:pPr>
      <w:r>
        <w:rPr>
          <w:rFonts w:ascii="仿宋_GB2312" w:eastAsia="仿宋_GB2312" w:hint="eastAsia"/>
          <w:b/>
          <w:bCs/>
          <w:sz w:val="24"/>
          <w:szCs w:val="24"/>
        </w:rPr>
        <w:t xml:space="preserve">4.1 </w:t>
      </w:r>
      <w:r>
        <w:rPr>
          <w:rFonts w:ascii="仿宋_GB2312" w:eastAsia="仿宋_GB2312" w:hint="eastAsia"/>
          <w:b/>
          <w:bCs/>
          <w:sz w:val="24"/>
          <w:szCs w:val="24"/>
        </w:rPr>
        <w:t>报告期末产品资产组合情况</w:t>
      </w:r>
    </w:p>
    <w:p w:rsidR="00B63462" w:rsidRDefault="00B63462">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B63462">
        <w:trPr>
          <w:trHeight w:val="415"/>
        </w:trPr>
        <w:tc>
          <w:tcPr>
            <w:tcW w:w="1281" w:type="dxa"/>
            <w:vAlign w:val="center"/>
          </w:tcPr>
          <w:p w:rsidR="00B63462" w:rsidRDefault="00243DE7">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B63462" w:rsidRDefault="00243DE7">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B63462" w:rsidRDefault="00243DE7">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B63462" w:rsidRDefault="00243DE7">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B63462">
        <w:trPr>
          <w:trHeight w:val="20"/>
        </w:trPr>
        <w:tc>
          <w:tcPr>
            <w:tcW w:w="1281" w:type="dxa"/>
            <w:vAlign w:val="center"/>
          </w:tcPr>
          <w:p w:rsidR="00B63462" w:rsidRDefault="00243DE7">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rsidR="00B63462" w:rsidRDefault="00243DE7">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rsidR="00B63462" w:rsidRDefault="00243DE7">
            <w:pPr>
              <w:jc w:val="center"/>
              <w:rPr>
                <w:rFonts w:eastAsia="Times New Roman"/>
                <w:color w:val="000000"/>
                <w:sz w:val="24"/>
              </w:rPr>
            </w:pPr>
            <w:r>
              <w:rPr>
                <w:rFonts w:eastAsia="Times New Roman"/>
                <w:color w:val="000000"/>
                <w:sz w:val="24"/>
              </w:rPr>
              <w:t>1,451,812.10</w:t>
            </w:r>
          </w:p>
        </w:tc>
        <w:tc>
          <w:tcPr>
            <w:tcW w:w="2477" w:type="dxa"/>
            <w:vAlign w:val="center"/>
          </w:tcPr>
          <w:p w:rsidR="00B63462" w:rsidRDefault="00243DE7">
            <w:pPr>
              <w:jc w:val="center"/>
              <w:rPr>
                <w:rFonts w:eastAsia="Times New Roman"/>
                <w:color w:val="000000"/>
                <w:sz w:val="24"/>
              </w:rPr>
            </w:pPr>
            <w:r>
              <w:rPr>
                <w:rFonts w:eastAsia="Times New Roman"/>
                <w:color w:val="000000"/>
                <w:sz w:val="24"/>
              </w:rPr>
              <w:t>1.47%</w:t>
            </w:r>
          </w:p>
        </w:tc>
      </w:tr>
      <w:tr w:rsidR="00B63462">
        <w:tc>
          <w:tcPr>
            <w:tcW w:w="1281" w:type="dxa"/>
            <w:vAlign w:val="center"/>
          </w:tcPr>
          <w:p w:rsidR="00B63462" w:rsidRDefault="00243DE7">
            <w:pPr>
              <w:jc w:val="center"/>
            </w:pPr>
            <w:r>
              <w:rPr>
                <w:rFonts w:eastAsia="Times New Roman"/>
                <w:color w:val="000000"/>
                <w:sz w:val="24"/>
              </w:rPr>
              <w:t>2</w:t>
            </w:r>
          </w:p>
        </w:tc>
        <w:tc>
          <w:tcPr>
            <w:tcW w:w="2620" w:type="dxa"/>
            <w:vAlign w:val="center"/>
          </w:tcPr>
          <w:p w:rsidR="00B63462" w:rsidRDefault="00243DE7">
            <w:pPr>
              <w:jc w:val="center"/>
            </w:pPr>
            <w:proofErr w:type="spellStart"/>
            <w:r>
              <w:rPr>
                <w:rFonts w:eastAsia="Times New Roman"/>
                <w:color w:val="000000"/>
                <w:sz w:val="24"/>
              </w:rPr>
              <w:t>债券投资</w:t>
            </w:r>
            <w:proofErr w:type="spellEnd"/>
          </w:p>
        </w:tc>
        <w:tc>
          <w:tcPr>
            <w:tcW w:w="2694" w:type="dxa"/>
            <w:vAlign w:val="bottom"/>
          </w:tcPr>
          <w:p w:rsidR="00B63462" w:rsidRDefault="00243DE7">
            <w:pPr>
              <w:jc w:val="center"/>
              <w:rPr>
                <w:rFonts w:eastAsia="Times New Roman"/>
                <w:color w:val="000000"/>
                <w:sz w:val="24"/>
              </w:rPr>
            </w:pPr>
            <w:r>
              <w:rPr>
                <w:rFonts w:eastAsia="Times New Roman" w:hint="eastAsia"/>
                <w:color w:val="000000"/>
                <w:sz w:val="24"/>
              </w:rPr>
              <w:t>71,477,713.13</w:t>
            </w:r>
          </w:p>
        </w:tc>
        <w:tc>
          <w:tcPr>
            <w:tcW w:w="2477" w:type="dxa"/>
            <w:vAlign w:val="bottom"/>
          </w:tcPr>
          <w:p w:rsidR="00B63462" w:rsidRDefault="00243DE7">
            <w:pPr>
              <w:jc w:val="center"/>
              <w:rPr>
                <w:rFonts w:eastAsia="Times New Roman"/>
                <w:color w:val="000000"/>
                <w:sz w:val="24"/>
              </w:rPr>
            </w:pPr>
            <w:r>
              <w:rPr>
                <w:rFonts w:eastAsia="Times New Roman" w:hint="eastAsia"/>
                <w:color w:val="000000"/>
                <w:sz w:val="24"/>
              </w:rPr>
              <w:t>72.35%</w:t>
            </w:r>
          </w:p>
        </w:tc>
      </w:tr>
      <w:tr w:rsidR="00B63462">
        <w:tc>
          <w:tcPr>
            <w:tcW w:w="1281" w:type="dxa"/>
            <w:vAlign w:val="center"/>
          </w:tcPr>
          <w:p w:rsidR="00B63462" w:rsidRDefault="00243DE7">
            <w:pPr>
              <w:jc w:val="center"/>
            </w:pPr>
            <w:r>
              <w:rPr>
                <w:rFonts w:eastAsia="Times New Roman"/>
                <w:color w:val="000000"/>
                <w:sz w:val="24"/>
              </w:rPr>
              <w:t>3</w:t>
            </w:r>
          </w:p>
        </w:tc>
        <w:tc>
          <w:tcPr>
            <w:tcW w:w="2620" w:type="dxa"/>
            <w:vAlign w:val="center"/>
          </w:tcPr>
          <w:p w:rsidR="00B63462" w:rsidRDefault="00243DE7">
            <w:pPr>
              <w:jc w:val="center"/>
            </w:pPr>
            <w:proofErr w:type="spellStart"/>
            <w:r>
              <w:rPr>
                <w:rFonts w:eastAsia="Times New Roman"/>
                <w:color w:val="000000"/>
                <w:sz w:val="24"/>
              </w:rPr>
              <w:t>资产支持证券投资</w:t>
            </w:r>
            <w:proofErr w:type="spellEnd"/>
          </w:p>
        </w:tc>
        <w:tc>
          <w:tcPr>
            <w:tcW w:w="2694" w:type="dxa"/>
            <w:vAlign w:val="bottom"/>
          </w:tcPr>
          <w:p w:rsidR="00B63462" w:rsidRDefault="00243DE7">
            <w:pPr>
              <w:jc w:val="center"/>
              <w:rPr>
                <w:rFonts w:eastAsia="Times New Roman"/>
                <w:color w:val="000000"/>
                <w:sz w:val="24"/>
              </w:rPr>
            </w:pPr>
            <w:r>
              <w:rPr>
                <w:rFonts w:eastAsia="Times New Roman" w:hint="eastAsia"/>
                <w:color w:val="000000"/>
                <w:sz w:val="24"/>
              </w:rPr>
              <w:t>23,623,216.33</w:t>
            </w:r>
          </w:p>
        </w:tc>
        <w:tc>
          <w:tcPr>
            <w:tcW w:w="2477" w:type="dxa"/>
            <w:vAlign w:val="bottom"/>
          </w:tcPr>
          <w:p w:rsidR="00B63462" w:rsidRDefault="00243DE7">
            <w:pPr>
              <w:jc w:val="center"/>
              <w:rPr>
                <w:rFonts w:eastAsia="Times New Roman"/>
                <w:color w:val="000000"/>
                <w:sz w:val="24"/>
              </w:rPr>
            </w:pPr>
            <w:r>
              <w:rPr>
                <w:rFonts w:eastAsia="Times New Roman" w:hint="eastAsia"/>
                <w:color w:val="000000"/>
                <w:sz w:val="24"/>
              </w:rPr>
              <w:t>23.91%</w:t>
            </w:r>
          </w:p>
        </w:tc>
      </w:tr>
      <w:tr w:rsidR="00B63462">
        <w:tc>
          <w:tcPr>
            <w:tcW w:w="1281" w:type="dxa"/>
            <w:vAlign w:val="center"/>
          </w:tcPr>
          <w:p w:rsidR="00B63462" w:rsidRDefault="00243DE7">
            <w:pPr>
              <w:jc w:val="center"/>
            </w:pPr>
            <w:r>
              <w:rPr>
                <w:rFonts w:eastAsia="Times New Roman"/>
                <w:color w:val="000000"/>
                <w:sz w:val="24"/>
              </w:rPr>
              <w:t>4</w:t>
            </w:r>
          </w:p>
        </w:tc>
        <w:tc>
          <w:tcPr>
            <w:tcW w:w="2620" w:type="dxa"/>
            <w:vAlign w:val="center"/>
          </w:tcPr>
          <w:p w:rsidR="00B63462" w:rsidRDefault="00243DE7">
            <w:pPr>
              <w:jc w:val="center"/>
            </w:pPr>
            <w:proofErr w:type="spellStart"/>
            <w:r>
              <w:rPr>
                <w:rFonts w:eastAsia="Times New Roman"/>
                <w:color w:val="000000"/>
                <w:sz w:val="24"/>
              </w:rPr>
              <w:t>信托计划</w:t>
            </w:r>
            <w:proofErr w:type="spellEnd"/>
          </w:p>
        </w:tc>
        <w:tc>
          <w:tcPr>
            <w:tcW w:w="2694" w:type="dxa"/>
            <w:vAlign w:val="center"/>
          </w:tcPr>
          <w:p w:rsidR="00B63462" w:rsidRDefault="00243DE7">
            <w:pPr>
              <w:jc w:val="center"/>
            </w:pPr>
            <w:r>
              <w:rPr>
                <w:rFonts w:eastAsia="Times New Roman"/>
                <w:color w:val="000000"/>
                <w:sz w:val="24"/>
              </w:rPr>
              <w:t>-</w:t>
            </w:r>
          </w:p>
        </w:tc>
        <w:tc>
          <w:tcPr>
            <w:tcW w:w="2477" w:type="dxa"/>
            <w:vAlign w:val="center"/>
          </w:tcPr>
          <w:p w:rsidR="00B63462" w:rsidRDefault="00243DE7">
            <w:pPr>
              <w:jc w:val="center"/>
            </w:pPr>
            <w:r>
              <w:rPr>
                <w:rFonts w:eastAsia="Times New Roman"/>
                <w:color w:val="000000"/>
                <w:sz w:val="24"/>
              </w:rPr>
              <w:t>-</w:t>
            </w:r>
          </w:p>
        </w:tc>
      </w:tr>
      <w:tr w:rsidR="00B63462">
        <w:tc>
          <w:tcPr>
            <w:tcW w:w="1281" w:type="dxa"/>
            <w:vAlign w:val="center"/>
          </w:tcPr>
          <w:p w:rsidR="00B63462" w:rsidRDefault="00243DE7">
            <w:pPr>
              <w:jc w:val="center"/>
            </w:pPr>
            <w:r>
              <w:rPr>
                <w:rFonts w:eastAsia="Times New Roman"/>
                <w:color w:val="000000"/>
                <w:sz w:val="24"/>
              </w:rPr>
              <w:t>5</w:t>
            </w:r>
          </w:p>
        </w:tc>
        <w:tc>
          <w:tcPr>
            <w:tcW w:w="2620" w:type="dxa"/>
            <w:vAlign w:val="center"/>
          </w:tcPr>
          <w:p w:rsidR="00B63462" w:rsidRDefault="00243DE7">
            <w:pPr>
              <w:jc w:val="center"/>
            </w:pPr>
            <w:proofErr w:type="spellStart"/>
            <w:r>
              <w:rPr>
                <w:rFonts w:eastAsia="Times New Roman"/>
                <w:color w:val="000000"/>
                <w:sz w:val="24"/>
              </w:rPr>
              <w:t>资产管理计划</w:t>
            </w:r>
            <w:proofErr w:type="spellEnd"/>
          </w:p>
        </w:tc>
        <w:tc>
          <w:tcPr>
            <w:tcW w:w="2694" w:type="dxa"/>
            <w:vAlign w:val="center"/>
          </w:tcPr>
          <w:p w:rsidR="00B63462" w:rsidRDefault="00243DE7">
            <w:pPr>
              <w:jc w:val="center"/>
            </w:pPr>
            <w:r>
              <w:rPr>
                <w:rFonts w:eastAsia="Times New Roman"/>
                <w:color w:val="000000"/>
                <w:sz w:val="24"/>
              </w:rPr>
              <w:t>-</w:t>
            </w:r>
          </w:p>
        </w:tc>
        <w:tc>
          <w:tcPr>
            <w:tcW w:w="2477" w:type="dxa"/>
            <w:vAlign w:val="center"/>
          </w:tcPr>
          <w:p w:rsidR="00B63462" w:rsidRDefault="00243DE7">
            <w:pPr>
              <w:jc w:val="center"/>
            </w:pPr>
            <w:r>
              <w:rPr>
                <w:rFonts w:eastAsia="Times New Roman"/>
                <w:color w:val="000000"/>
                <w:sz w:val="24"/>
              </w:rPr>
              <w:t>-</w:t>
            </w:r>
          </w:p>
        </w:tc>
      </w:tr>
      <w:tr w:rsidR="00B63462">
        <w:tc>
          <w:tcPr>
            <w:tcW w:w="1281" w:type="dxa"/>
            <w:vAlign w:val="center"/>
          </w:tcPr>
          <w:p w:rsidR="00B63462" w:rsidRDefault="00243DE7">
            <w:pPr>
              <w:jc w:val="center"/>
            </w:pPr>
            <w:r>
              <w:rPr>
                <w:rFonts w:eastAsia="Times New Roman"/>
                <w:color w:val="000000"/>
                <w:sz w:val="24"/>
              </w:rPr>
              <w:t>6</w:t>
            </w:r>
          </w:p>
        </w:tc>
        <w:tc>
          <w:tcPr>
            <w:tcW w:w="2620" w:type="dxa"/>
            <w:vAlign w:val="center"/>
          </w:tcPr>
          <w:p w:rsidR="00B63462" w:rsidRDefault="00243DE7">
            <w:pPr>
              <w:jc w:val="center"/>
            </w:pPr>
            <w:proofErr w:type="spellStart"/>
            <w:r>
              <w:rPr>
                <w:rFonts w:eastAsia="Times New Roman"/>
                <w:color w:val="000000"/>
                <w:sz w:val="24"/>
              </w:rPr>
              <w:t>净值类资产管理计划</w:t>
            </w:r>
            <w:proofErr w:type="spellEnd"/>
          </w:p>
        </w:tc>
        <w:tc>
          <w:tcPr>
            <w:tcW w:w="2694" w:type="dxa"/>
            <w:vAlign w:val="center"/>
          </w:tcPr>
          <w:p w:rsidR="00B63462" w:rsidRDefault="00243DE7">
            <w:pPr>
              <w:jc w:val="center"/>
            </w:pPr>
            <w:r>
              <w:rPr>
                <w:rFonts w:eastAsia="Times New Roman"/>
                <w:color w:val="000000"/>
                <w:sz w:val="24"/>
              </w:rPr>
              <w:t>-</w:t>
            </w:r>
          </w:p>
        </w:tc>
        <w:tc>
          <w:tcPr>
            <w:tcW w:w="2477" w:type="dxa"/>
            <w:vAlign w:val="center"/>
          </w:tcPr>
          <w:p w:rsidR="00B63462" w:rsidRDefault="00243DE7">
            <w:pPr>
              <w:jc w:val="center"/>
            </w:pPr>
            <w:r>
              <w:rPr>
                <w:rFonts w:eastAsia="Times New Roman"/>
                <w:color w:val="000000"/>
                <w:sz w:val="24"/>
              </w:rPr>
              <w:t>-</w:t>
            </w:r>
          </w:p>
        </w:tc>
      </w:tr>
      <w:tr w:rsidR="00B63462">
        <w:tc>
          <w:tcPr>
            <w:tcW w:w="1281" w:type="dxa"/>
            <w:vAlign w:val="center"/>
          </w:tcPr>
          <w:p w:rsidR="00B63462" w:rsidRDefault="00243DE7">
            <w:pPr>
              <w:jc w:val="center"/>
            </w:pPr>
            <w:r>
              <w:rPr>
                <w:rFonts w:eastAsia="Times New Roman"/>
                <w:color w:val="000000"/>
                <w:sz w:val="24"/>
              </w:rPr>
              <w:t>7</w:t>
            </w:r>
          </w:p>
        </w:tc>
        <w:tc>
          <w:tcPr>
            <w:tcW w:w="2620" w:type="dxa"/>
            <w:vAlign w:val="center"/>
          </w:tcPr>
          <w:p w:rsidR="00B63462" w:rsidRDefault="00243DE7">
            <w:pPr>
              <w:jc w:val="center"/>
            </w:pPr>
            <w:proofErr w:type="spellStart"/>
            <w:r>
              <w:rPr>
                <w:rFonts w:eastAsia="Times New Roman"/>
                <w:color w:val="000000"/>
                <w:sz w:val="24"/>
              </w:rPr>
              <w:t>资金拆出</w:t>
            </w:r>
            <w:proofErr w:type="spellEnd"/>
          </w:p>
        </w:tc>
        <w:tc>
          <w:tcPr>
            <w:tcW w:w="2694" w:type="dxa"/>
            <w:vAlign w:val="center"/>
          </w:tcPr>
          <w:p w:rsidR="00B63462" w:rsidRDefault="00243DE7">
            <w:pPr>
              <w:jc w:val="center"/>
            </w:pPr>
            <w:r>
              <w:rPr>
                <w:rFonts w:eastAsia="Times New Roman"/>
                <w:color w:val="000000"/>
                <w:sz w:val="24"/>
              </w:rPr>
              <w:t>-</w:t>
            </w:r>
          </w:p>
        </w:tc>
        <w:tc>
          <w:tcPr>
            <w:tcW w:w="2477" w:type="dxa"/>
            <w:vAlign w:val="center"/>
          </w:tcPr>
          <w:p w:rsidR="00B63462" w:rsidRDefault="00243DE7">
            <w:pPr>
              <w:jc w:val="center"/>
            </w:pPr>
            <w:r>
              <w:rPr>
                <w:rFonts w:eastAsia="Times New Roman"/>
                <w:color w:val="000000"/>
                <w:sz w:val="24"/>
              </w:rPr>
              <w:t>-</w:t>
            </w:r>
          </w:p>
        </w:tc>
      </w:tr>
      <w:tr w:rsidR="00B63462">
        <w:tc>
          <w:tcPr>
            <w:tcW w:w="1281" w:type="dxa"/>
            <w:vAlign w:val="center"/>
          </w:tcPr>
          <w:p w:rsidR="00B63462" w:rsidRDefault="00243DE7">
            <w:pPr>
              <w:jc w:val="center"/>
            </w:pPr>
            <w:r>
              <w:rPr>
                <w:rFonts w:eastAsia="Times New Roman"/>
                <w:color w:val="000000"/>
                <w:sz w:val="24"/>
              </w:rPr>
              <w:t>8</w:t>
            </w:r>
          </w:p>
        </w:tc>
        <w:tc>
          <w:tcPr>
            <w:tcW w:w="2620" w:type="dxa"/>
            <w:vAlign w:val="center"/>
          </w:tcPr>
          <w:p w:rsidR="00B63462" w:rsidRDefault="00243DE7">
            <w:pPr>
              <w:jc w:val="center"/>
            </w:pPr>
            <w:proofErr w:type="spellStart"/>
            <w:r>
              <w:rPr>
                <w:rFonts w:eastAsia="Times New Roman"/>
                <w:color w:val="000000"/>
                <w:sz w:val="24"/>
              </w:rPr>
              <w:t>结算备付金</w:t>
            </w:r>
            <w:proofErr w:type="spellEnd"/>
          </w:p>
        </w:tc>
        <w:tc>
          <w:tcPr>
            <w:tcW w:w="2694" w:type="dxa"/>
            <w:vAlign w:val="center"/>
          </w:tcPr>
          <w:p w:rsidR="00B63462" w:rsidRDefault="00243DE7">
            <w:pPr>
              <w:jc w:val="center"/>
            </w:pPr>
            <w:r>
              <w:rPr>
                <w:rFonts w:eastAsia="Times New Roman"/>
                <w:color w:val="000000"/>
                <w:sz w:val="24"/>
              </w:rPr>
              <w:t>-</w:t>
            </w:r>
          </w:p>
        </w:tc>
        <w:tc>
          <w:tcPr>
            <w:tcW w:w="2477" w:type="dxa"/>
            <w:vAlign w:val="center"/>
          </w:tcPr>
          <w:p w:rsidR="00B63462" w:rsidRDefault="00243DE7">
            <w:pPr>
              <w:jc w:val="center"/>
            </w:pPr>
            <w:r>
              <w:rPr>
                <w:rFonts w:eastAsia="Times New Roman"/>
                <w:color w:val="000000"/>
                <w:sz w:val="24"/>
              </w:rPr>
              <w:t>-</w:t>
            </w:r>
          </w:p>
        </w:tc>
      </w:tr>
      <w:tr w:rsidR="00B63462">
        <w:tc>
          <w:tcPr>
            <w:tcW w:w="1281" w:type="dxa"/>
            <w:vAlign w:val="center"/>
          </w:tcPr>
          <w:p w:rsidR="00B63462" w:rsidRDefault="00243DE7">
            <w:pPr>
              <w:jc w:val="center"/>
            </w:pPr>
            <w:r>
              <w:rPr>
                <w:rFonts w:eastAsia="Times New Roman"/>
                <w:color w:val="000000"/>
                <w:sz w:val="24"/>
              </w:rPr>
              <w:t>9</w:t>
            </w:r>
          </w:p>
        </w:tc>
        <w:tc>
          <w:tcPr>
            <w:tcW w:w="2620" w:type="dxa"/>
            <w:vAlign w:val="center"/>
          </w:tcPr>
          <w:p w:rsidR="00B63462" w:rsidRDefault="00243DE7">
            <w:pPr>
              <w:jc w:val="center"/>
            </w:pPr>
            <w:proofErr w:type="spellStart"/>
            <w:r>
              <w:rPr>
                <w:rFonts w:eastAsia="Times New Roman"/>
                <w:color w:val="000000"/>
                <w:sz w:val="24"/>
              </w:rPr>
              <w:t>买入返售金融资产</w:t>
            </w:r>
            <w:proofErr w:type="spellEnd"/>
          </w:p>
        </w:tc>
        <w:tc>
          <w:tcPr>
            <w:tcW w:w="2694" w:type="dxa"/>
            <w:vAlign w:val="center"/>
          </w:tcPr>
          <w:p w:rsidR="00B63462" w:rsidRDefault="00243DE7">
            <w:pPr>
              <w:jc w:val="center"/>
            </w:pPr>
            <w:r>
              <w:rPr>
                <w:rFonts w:eastAsia="Times New Roman"/>
                <w:color w:val="000000"/>
                <w:sz w:val="24"/>
              </w:rPr>
              <w:t>-</w:t>
            </w:r>
          </w:p>
        </w:tc>
        <w:tc>
          <w:tcPr>
            <w:tcW w:w="2477" w:type="dxa"/>
            <w:vAlign w:val="center"/>
          </w:tcPr>
          <w:p w:rsidR="00B63462" w:rsidRDefault="00243DE7">
            <w:pPr>
              <w:jc w:val="center"/>
            </w:pPr>
            <w:r>
              <w:rPr>
                <w:rFonts w:eastAsia="Times New Roman"/>
                <w:color w:val="000000"/>
                <w:sz w:val="24"/>
              </w:rPr>
              <w:t>-</w:t>
            </w:r>
          </w:p>
        </w:tc>
      </w:tr>
      <w:tr w:rsidR="00B63462">
        <w:tc>
          <w:tcPr>
            <w:tcW w:w="1281" w:type="dxa"/>
            <w:vAlign w:val="center"/>
          </w:tcPr>
          <w:p w:rsidR="00B63462" w:rsidRDefault="00243DE7">
            <w:pPr>
              <w:jc w:val="center"/>
            </w:pPr>
            <w:r>
              <w:rPr>
                <w:rFonts w:eastAsia="Times New Roman"/>
                <w:color w:val="000000"/>
                <w:sz w:val="24"/>
              </w:rPr>
              <w:t>10</w:t>
            </w:r>
          </w:p>
        </w:tc>
        <w:tc>
          <w:tcPr>
            <w:tcW w:w="2620" w:type="dxa"/>
            <w:vAlign w:val="center"/>
          </w:tcPr>
          <w:p w:rsidR="00B63462" w:rsidRDefault="00243DE7">
            <w:pPr>
              <w:jc w:val="center"/>
            </w:pPr>
            <w:proofErr w:type="spellStart"/>
            <w:r>
              <w:rPr>
                <w:rFonts w:eastAsia="Times New Roman"/>
                <w:color w:val="000000"/>
                <w:sz w:val="24"/>
              </w:rPr>
              <w:t>其他资产</w:t>
            </w:r>
            <w:proofErr w:type="spellEnd"/>
          </w:p>
        </w:tc>
        <w:tc>
          <w:tcPr>
            <w:tcW w:w="2694" w:type="dxa"/>
            <w:vAlign w:val="center"/>
          </w:tcPr>
          <w:p w:rsidR="00B63462" w:rsidRDefault="00243DE7">
            <w:pPr>
              <w:jc w:val="center"/>
            </w:pPr>
            <w:r>
              <w:rPr>
                <w:rFonts w:eastAsia="Times New Roman"/>
                <w:color w:val="000000"/>
                <w:sz w:val="24"/>
              </w:rPr>
              <w:t>-</w:t>
            </w:r>
          </w:p>
        </w:tc>
        <w:tc>
          <w:tcPr>
            <w:tcW w:w="2477" w:type="dxa"/>
            <w:vAlign w:val="center"/>
          </w:tcPr>
          <w:p w:rsidR="00B63462" w:rsidRDefault="00243DE7">
            <w:pPr>
              <w:jc w:val="center"/>
            </w:pPr>
            <w:r>
              <w:rPr>
                <w:rFonts w:eastAsia="Times New Roman"/>
                <w:color w:val="000000"/>
                <w:sz w:val="24"/>
              </w:rPr>
              <w:t>-</w:t>
            </w:r>
          </w:p>
        </w:tc>
      </w:tr>
      <w:tr w:rsidR="00B63462">
        <w:tc>
          <w:tcPr>
            <w:tcW w:w="1281" w:type="dxa"/>
            <w:vAlign w:val="center"/>
          </w:tcPr>
          <w:p w:rsidR="00B63462" w:rsidRDefault="00243DE7">
            <w:pPr>
              <w:jc w:val="center"/>
            </w:pPr>
            <w:r>
              <w:rPr>
                <w:rFonts w:eastAsia="Times New Roman"/>
                <w:color w:val="000000"/>
                <w:sz w:val="24"/>
              </w:rPr>
              <w:t>11</w:t>
            </w:r>
          </w:p>
        </w:tc>
        <w:tc>
          <w:tcPr>
            <w:tcW w:w="2620" w:type="dxa"/>
            <w:vAlign w:val="center"/>
          </w:tcPr>
          <w:p w:rsidR="00B63462" w:rsidRDefault="00243DE7">
            <w:pPr>
              <w:jc w:val="center"/>
            </w:pPr>
            <w:proofErr w:type="spellStart"/>
            <w:r>
              <w:rPr>
                <w:rFonts w:eastAsia="Times New Roman"/>
                <w:color w:val="000000"/>
                <w:sz w:val="24"/>
              </w:rPr>
              <w:t>应收利息</w:t>
            </w:r>
            <w:proofErr w:type="spellEnd"/>
          </w:p>
        </w:tc>
        <w:tc>
          <w:tcPr>
            <w:tcW w:w="2694" w:type="dxa"/>
            <w:vAlign w:val="center"/>
          </w:tcPr>
          <w:p w:rsidR="00B63462" w:rsidRDefault="00243DE7">
            <w:pPr>
              <w:jc w:val="center"/>
            </w:pPr>
            <w:r>
              <w:rPr>
                <w:rFonts w:eastAsia="Times New Roman"/>
                <w:color w:val="000000"/>
                <w:sz w:val="24"/>
              </w:rPr>
              <w:t>2,352,450.30</w:t>
            </w:r>
          </w:p>
        </w:tc>
        <w:tc>
          <w:tcPr>
            <w:tcW w:w="2477" w:type="dxa"/>
            <w:vAlign w:val="center"/>
          </w:tcPr>
          <w:p w:rsidR="00B63462" w:rsidRDefault="00243DE7">
            <w:pPr>
              <w:jc w:val="center"/>
            </w:pPr>
            <w:r>
              <w:rPr>
                <w:rFonts w:eastAsia="Times New Roman"/>
                <w:color w:val="000000"/>
                <w:sz w:val="24"/>
              </w:rPr>
              <w:t>2.38%</w:t>
            </w:r>
          </w:p>
        </w:tc>
      </w:tr>
      <w:tr w:rsidR="00B63462">
        <w:tc>
          <w:tcPr>
            <w:tcW w:w="1281" w:type="dxa"/>
            <w:vAlign w:val="center"/>
          </w:tcPr>
          <w:p w:rsidR="00B63462" w:rsidRDefault="00B63462">
            <w:pPr>
              <w:jc w:val="center"/>
            </w:pPr>
          </w:p>
        </w:tc>
        <w:tc>
          <w:tcPr>
            <w:tcW w:w="2620" w:type="dxa"/>
            <w:vAlign w:val="center"/>
          </w:tcPr>
          <w:p w:rsidR="00B63462" w:rsidRDefault="00243DE7">
            <w:pPr>
              <w:jc w:val="center"/>
            </w:pPr>
            <w:proofErr w:type="spellStart"/>
            <w:r>
              <w:rPr>
                <w:rFonts w:eastAsia="Times New Roman"/>
                <w:color w:val="000000"/>
                <w:sz w:val="24"/>
              </w:rPr>
              <w:t>合计</w:t>
            </w:r>
            <w:proofErr w:type="spellEnd"/>
          </w:p>
        </w:tc>
        <w:tc>
          <w:tcPr>
            <w:tcW w:w="2694" w:type="dxa"/>
            <w:vAlign w:val="center"/>
          </w:tcPr>
          <w:p w:rsidR="00B63462" w:rsidRDefault="00243DE7">
            <w:pPr>
              <w:jc w:val="center"/>
            </w:pPr>
            <w:r>
              <w:rPr>
                <w:rFonts w:eastAsia="Times New Roman"/>
                <w:color w:val="000000"/>
                <w:sz w:val="24"/>
              </w:rPr>
              <w:t>98,905,191.86</w:t>
            </w:r>
          </w:p>
        </w:tc>
        <w:tc>
          <w:tcPr>
            <w:tcW w:w="2477" w:type="dxa"/>
            <w:vAlign w:val="center"/>
          </w:tcPr>
          <w:p w:rsidR="00B63462" w:rsidRDefault="00243DE7">
            <w:pPr>
              <w:jc w:val="center"/>
            </w:pPr>
            <w:r>
              <w:rPr>
                <w:rFonts w:eastAsia="Times New Roman"/>
                <w:color w:val="000000"/>
                <w:sz w:val="24"/>
              </w:rPr>
              <w:t>100.11%</w:t>
            </w:r>
          </w:p>
        </w:tc>
      </w:tr>
    </w:tbl>
    <w:p w:rsidR="00B63462" w:rsidRDefault="00243DE7">
      <w:pPr>
        <w:spacing w:line="360" w:lineRule="auto"/>
        <w:ind w:firstLine="482"/>
        <w:rPr>
          <w:rFonts w:ascii="仿宋_GB2312" w:eastAsia="仿宋_GB2312" w:hAnsi="Calibri"/>
          <w:sz w:val="24"/>
          <w:szCs w:val="24"/>
        </w:rPr>
      </w:pPr>
      <w:r>
        <w:rPr>
          <w:rFonts w:ascii="仿宋_GB2312" w:eastAsia="仿宋_GB2312" w:hint="eastAsia"/>
          <w:b/>
          <w:bCs/>
          <w:sz w:val="24"/>
          <w:szCs w:val="24"/>
        </w:rPr>
        <w:t xml:space="preserve">4.2 </w:t>
      </w:r>
      <w:r>
        <w:rPr>
          <w:rFonts w:ascii="仿宋_GB2312" w:eastAsia="仿宋_GB2312" w:hint="eastAsia"/>
          <w:b/>
          <w:bCs/>
          <w:sz w:val="24"/>
          <w:szCs w:val="24"/>
        </w:rPr>
        <w:t>报告期内产品投资策略和组合流动性风险分析</w:t>
      </w:r>
    </w:p>
    <w:p w:rsidR="00B63462" w:rsidRDefault="00243DE7">
      <w:pPr>
        <w:spacing w:line="360" w:lineRule="auto"/>
        <w:ind w:firstLineChars="200" w:firstLine="480"/>
        <w:rPr>
          <w:rFonts w:ascii="仿宋_GB2312" w:eastAsia="仿宋_GB2312" w:hAnsi="Calibri"/>
          <w:sz w:val="24"/>
          <w:szCs w:val="24"/>
        </w:rPr>
      </w:pPr>
      <w:r>
        <w:rPr>
          <w:rFonts w:ascii="仿宋_GB2312" w:eastAsia="仿宋_GB2312" w:hAnsi="Calibri" w:hint="eastAsia"/>
          <w:sz w:val="24"/>
          <w:szCs w:val="24"/>
        </w:rPr>
        <w:t>本产品秉承价值投资理念，</w:t>
      </w:r>
      <w:r>
        <w:rPr>
          <w:rFonts w:ascii="仿宋_GB2312" w:eastAsia="仿宋_GB2312" w:hAnsi="Calibri" w:hint="eastAsia"/>
          <w:sz w:val="24"/>
          <w:szCs w:val="24"/>
        </w:rPr>
        <w:t>投资策略以配置中</w:t>
      </w:r>
      <w:proofErr w:type="gramStart"/>
      <w:r>
        <w:rPr>
          <w:rFonts w:ascii="仿宋_GB2312" w:eastAsia="仿宋_GB2312" w:hAnsi="Calibri" w:hint="eastAsia"/>
          <w:sz w:val="24"/>
          <w:szCs w:val="24"/>
        </w:rPr>
        <w:t>短久期</w:t>
      </w:r>
      <w:proofErr w:type="gramEnd"/>
      <w:r>
        <w:rPr>
          <w:rFonts w:ascii="仿宋_GB2312" w:eastAsia="仿宋_GB2312" w:hAnsi="Calibri" w:hint="eastAsia"/>
          <w:sz w:val="24"/>
          <w:szCs w:val="24"/>
        </w:rPr>
        <w:t>的</w:t>
      </w:r>
      <w:r>
        <w:rPr>
          <w:rFonts w:ascii="仿宋_GB2312" w:eastAsia="仿宋_GB2312" w:hAnsi="Calibri" w:hint="eastAsia"/>
          <w:sz w:val="24"/>
          <w:szCs w:val="24"/>
        </w:rPr>
        <w:t>AA+</w:t>
      </w:r>
      <w:r>
        <w:rPr>
          <w:rFonts w:ascii="仿宋_GB2312" w:eastAsia="仿宋_GB2312" w:hAnsi="Calibri" w:hint="eastAsia"/>
          <w:sz w:val="24"/>
          <w:szCs w:val="24"/>
        </w:rPr>
        <w:t>以上</w:t>
      </w:r>
      <w:r>
        <w:rPr>
          <w:rFonts w:ascii="仿宋_GB2312" w:eastAsia="仿宋_GB2312" w:hAnsi="Calibri" w:hint="eastAsia"/>
          <w:sz w:val="24"/>
          <w:szCs w:val="24"/>
        </w:rPr>
        <w:t>高等级信用</w:t>
      </w:r>
      <w:proofErr w:type="gramStart"/>
      <w:r>
        <w:rPr>
          <w:rFonts w:ascii="仿宋_GB2312" w:eastAsia="仿宋_GB2312" w:hAnsi="Calibri" w:hint="eastAsia"/>
          <w:sz w:val="24"/>
          <w:szCs w:val="24"/>
        </w:rPr>
        <w:t>债为主</w:t>
      </w:r>
      <w:proofErr w:type="gramEnd"/>
      <w:r>
        <w:rPr>
          <w:rFonts w:ascii="仿宋_GB2312" w:eastAsia="仿宋_GB2312" w:hAnsi="Calibri" w:hint="eastAsia"/>
          <w:sz w:val="24"/>
          <w:szCs w:val="24"/>
        </w:rPr>
        <w:t>,</w:t>
      </w:r>
      <w:r>
        <w:rPr>
          <w:rFonts w:ascii="仿宋_GB2312" w:eastAsia="仿宋_GB2312" w:hAnsi="Calibri" w:hint="eastAsia"/>
          <w:sz w:val="24"/>
          <w:szCs w:val="24"/>
        </w:rPr>
        <w:t>相机配置长久期利率债挖掘超额收益。</w:t>
      </w:r>
    </w:p>
    <w:p w:rsidR="00B63462" w:rsidRDefault="00B63462">
      <w:pPr>
        <w:rPr>
          <w:rFonts w:ascii="仿宋_GB2312" w:eastAsia="仿宋_GB2312" w:hAnsi="Calibri"/>
          <w:sz w:val="24"/>
          <w:szCs w:val="24"/>
        </w:rPr>
      </w:pPr>
    </w:p>
    <w:p w:rsidR="00B63462" w:rsidRDefault="00243DE7">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w:t>
      </w:r>
      <w:r>
        <w:rPr>
          <w:rFonts w:ascii="仿宋_GB2312" w:eastAsia="仿宋_GB2312" w:hAnsiTheme="minorEastAsia"/>
          <w:b/>
          <w:bCs/>
          <w:sz w:val="24"/>
          <w:szCs w:val="24"/>
        </w:rPr>
        <w:t>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B63462">
        <w:trPr>
          <w:trHeight w:val="296"/>
        </w:trPr>
        <w:tc>
          <w:tcPr>
            <w:tcW w:w="1139" w:type="dxa"/>
            <w:vAlign w:val="center"/>
          </w:tcPr>
          <w:p w:rsidR="00B63462" w:rsidRDefault="00243DE7">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B63462" w:rsidRDefault="00243DE7">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B63462" w:rsidRDefault="00243DE7">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B63462" w:rsidRDefault="00243DE7">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B63462">
        <w:trPr>
          <w:trHeight w:val="296"/>
        </w:trPr>
        <w:tc>
          <w:tcPr>
            <w:tcW w:w="1139" w:type="dxa"/>
          </w:tcPr>
          <w:p w:rsidR="00B63462" w:rsidRDefault="00243DE7">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vAlign w:val="bottom"/>
          </w:tcPr>
          <w:p w:rsidR="00B63462" w:rsidRDefault="00243DE7">
            <w:pPr>
              <w:jc w:val="center"/>
              <w:rPr>
                <w:rFonts w:eastAsia="Times New Roman"/>
                <w:color w:val="000000"/>
                <w:sz w:val="24"/>
              </w:rPr>
            </w:pPr>
            <w:r>
              <w:rPr>
                <w:rFonts w:eastAsia="Times New Roman"/>
                <w:color w:val="000000"/>
                <w:sz w:val="24"/>
              </w:rPr>
              <w:t xml:space="preserve"> 18京住总ABN001A </w:t>
            </w:r>
          </w:p>
        </w:tc>
        <w:tc>
          <w:tcPr>
            <w:tcW w:w="2835" w:type="dxa"/>
            <w:vAlign w:val="bottom"/>
          </w:tcPr>
          <w:p w:rsidR="00B63462" w:rsidRDefault="00243DE7">
            <w:pPr>
              <w:jc w:val="center"/>
              <w:rPr>
                <w:rFonts w:eastAsia="Times New Roman"/>
                <w:color w:val="000000"/>
                <w:sz w:val="24"/>
              </w:rPr>
            </w:pPr>
            <w:r>
              <w:rPr>
                <w:rFonts w:eastAsia="Times New Roman"/>
                <w:color w:val="000000"/>
                <w:sz w:val="24"/>
              </w:rPr>
              <w:t xml:space="preserve"> 8,168,412.80 </w:t>
            </w:r>
          </w:p>
        </w:tc>
        <w:tc>
          <w:tcPr>
            <w:tcW w:w="2835" w:type="dxa"/>
            <w:tcMar>
              <w:top w:w="15" w:type="dxa"/>
              <w:left w:w="15" w:type="dxa"/>
              <w:bottom w:w="0" w:type="dxa"/>
              <w:right w:w="15" w:type="dxa"/>
            </w:tcMar>
            <w:vAlign w:val="bottom"/>
          </w:tcPr>
          <w:p w:rsidR="00B63462" w:rsidRDefault="00243DE7">
            <w:pPr>
              <w:jc w:val="center"/>
              <w:rPr>
                <w:rFonts w:eastAsia="Times New Roman"/>
                <w:color w:val="000000"/>
                <w:sz w:val="24"/>
              </w:rPr>
            </w:pPr>
            <w:r>
              <w:rPr>
                <w:rFonts w:eastAsia="Times New Roman"/>
                <w:color w:val="000000"/>
                <w:sz w:val="24"/>
              </w:rPr>
              <w:t>8.27%</w:t>
            </w:r>
          </w:p>
        </w:tc>
      </w:tr>
      <w:tr w:rsidR="00B63462">
        <w:tc>
          <w:tcPr>
            <w:tcW w:w="1139" w:type="dxa"/>
          </w:tcPr>
          <w:p w:rsidR="00B63462" w:rsidRDefault="00243DE7">
            <w:pPr>
              <w:jc w:val="center"/>
            </w:pPr>
            <w:r>
              <w:rPr>
                <w:rFonts w:eastAsia="Times New Roman"/>
                <w:color w:val="000000"/>
                <w:sz w:val="24"/>
              </w:rPr>
              <w:t>2</w:t>
            </w:r>
          </w:p>
        </w:tc>
        <w:tc>
          <w:tcPr>
            <w:tcW w:w="2268" w:type="dxa"/>
            <w:tcMar>
              <w:top w:w="15" w:type="dxa"/>
              <w:left w:w="15" w:type="dxa"/>
              <w:bottom w:w="0" w:type="dxa"/>
              <w:right w:w="15" w:type="dxa"/>
            </w:tcMar>
            <w:vAlign w:val="bottom"/>
          </w:tcPr>
          <w:p w:rsidR="00B63462" w:rsidRDefault="00243DE7">
            <w:pPr>
              <w:jc w:val="center"/>
              <w:rPr>
                <w:rFonts w:eastAsia="Times New Roman"/>
                <w:color w:val="000000"/>
                <w:sz w:val="24"/>
              </w:rPr>
            </w:pPr>
            <w:r>
              <w:rPr>
                <w:rFonts w:eastAsia="Times New Roman"/>
                <w:color w:val="000000"/>
                <w:sz w:val="24"/>
              </w:rPr>
              <w:t xml:space="preserve"> 18泉州城投MTN002 </w:t>
            </w:r>
          </w:p>
        </w:tc>
        <w:tc>
          <w:tcPr>
            <w:tcW w:w="2835" w:type="dxa"/>
            <w:vAlign w:val="bottom"/>
          </w:tcPr>
          <w:p w:rsidR="00B63462" w:rsidRDefault="00243DE7">
            <w:pPr>
              <w:jc w:val="center"/>
              <w:rPr>
                <w:rFonts w:eastAsia="Times New Roman"/>
                <w:color w:val="000000"/>
                <w:sz w:val="24"/>
              </w:rPr>
            </w:pPr>
            <w:r>
              <w:rPr>
                <w:rFonts w:eastAsia="Times New Roman"/>
                <w:color w:val="000000"/>
                <w:sz w:val="24"/>
              </w:rPr>
              <w:t xml:space="preserve"> 8,132,950.80 </w:t>
            </w:r>
          </w:p>
        </w:tc>
        <w:tc>
          <w:tcPr>
            <w:tcW w:w="2835" w:type="dxa"/>
            <w:tcMar>
              <w:top w:w="15" w:type="dxa"/>
              <w:left w:w="15" w:type="dxa"/>
              <w:bottom w:w="0" w:type="dxa"/>
              <w:right w:w="15" w:type="dxa"/>
            </w:tcMar>
            <w:vAlign w:val="bottom"/>
          </w:tcPr>
          <w:p w:rsidR="00B63462" w:rsidRDefault="00243DE7">
            <w:pPr>
              <w:jc w:val="center"/>
              <w:rPr>
                <w:rFonts w:eastAsia="Times New Roman"/>
                <w:color w:val="000000"/>
                <w:sz w:val="24"/>
              </w:rPr>
            </w:pPr>
            <w:r>
              <w:rPr>
                <w:rFonts w:eastAsia="Times New Roman"/>
                <w:color w:val="000000"/>
                <w:sz w:val="24"/>
              </w:rPr>
              <w:t>8.23%</w:t>
            </w:r>
          </w:p>
        </w:tc>
      </w:tr>
      <w:tr w:rsidR="00B63462">
        <w:tc>
          <w:tcPr>
            <w:tcW w:w="1139" w:type="dxa"/>
          </w:tcPr>
          <w:p w:rsidR="00B63462" w:rsidRDefault="00243DE7">
            <w:pPr>
              <w:jc w:val="center"/>
            </w:pPr>
            <w:r>
              <w:rPr>
                <w:rFonts w:eastAsia="Times New Roman"/>
                <w:color w:val="000000"/>
                <w:sz w:val="24"/>
              </w:rPr>
              <w:t>3</w:t>
            </w:r>
          </w:p>
        </w:tc>
        <w:tc>
          <w:tcPr>
            <w:tcW w:w="2268" w:type="dxa"/>
            <w:tcMar>
              <w:top w:w="15" w:type="dxa"/>
              <w:left w:w="15" w:type="dxa"/>
              <w:bottom w:w="0" w:type="dxa"/>
              <w:right w:w="15" w:type="dxa"/>
            </w:tcMar>
            <w:vAlign w:val="bottom"/>
          </w:tcPr>
          <w:p w:rsidR="00B63462" w:rsidRDefault="00243DE7">
            <w:pPr>
              <w:jc w:val="center"/>
              <w:rPr>
                <w:rFonts w:eastAsia="Times New Roman"/>
                <w:color w:val="000000"/>
                <w:sz w:val="24"/>
              </w:rPr>
            </w:pPr>
            <w:r>
              <w:rPr>
                <w:rFonts w:eastAsia="Times New Roman"/>
                <w:color w:val="000000"/>
                <w:sz w:val="24"/>
              </w:rPr>
              <w:t xml:space="preserve"> 19江北建设PPN001 </w:t>
            </w:r>
          </w:p>
        </w:tc>
        <w:tc>
          <w:tcPr>
            <w:tcW w:w="2835" w:type="dxa"/>
            <w:vAlign w:val="bottom"/>
          </w:tcPr>
          <w:p w:rsidR="00B63462" w:rsidRDefault="00243DE7">
            <w:pPr>
              <w:jc w:val="center"/>
              <w:rPr>
                <w:rFonts w:eastAsia="Times New Roman"/>
                <w:color w:val="000000"/>
                <w:sz w:val="24"/>
              </w:rPr>
            </w:pPr>
            <w:r>
              <w:rPr>
                <w:rFonts w:eastAsia="Times New Roman"/>
                <w:color w:val="000000"/>
                <w:sz w:val="24"/>
              </w:rPr>
              <w:t xml:space="preserve"> 8,088,592.45 </w:t>
            </w:r>
          </w:p>
        </w:tc>
        <w:tc>
          <w:tcPr>
            <w:tcW w:w="2835" w:type="dxa"/>
            <w:tcMar>
              <w:top w:w="15" w:type="dxa"/>
              <w:left w:w="15" w:type="dxa"/>
              <w:bottom w:w="0" w:type="dxa"/>
              <w:right w:w="15" w:type="dxa"/>
            </w:tcMar>
            <w:vAlign w:val="bottom"/>
          </w:tcPr>
          <w:p w:rsidR="00B63462" w:rsidRDefault="00243DE7">
            <w:pPr>
              <w:jc w:val="center"/>
              <w:rPr>
                <w:rFonts w:eastAsia="Times New Roman"/>
                <w:color w:val="000000"/>
                <w:sz w:val="24"/>
              </w:rPr>
            </w:pPr>
            <w:r>
              <w:rPr>
                <w:rFonts w:eastAsia="Times New Roman"/>
                <w:color w:val="000000"/>
                <w:sz w:val="24"/>
              </w:rPr>
              <w:t>8.19%</w:t>
            </w:r>
          </w:p>
        </w:tc>
      </w:tr>
      <w:tr w:rsidR="00B63462">
        <w:tc>
          <w:tcPr>
            <w:tcW w:w="1139" w:type="dxa"/>
          </w:tcPr>
          <w:p w:rsidR="00B63462" w:rsidRDefault="00243DE7">
            <w:pPr>
              <w:jc w:val="center"/>
            </w:pPr>
            <w:r>
              <w:rPr>
                <w:rFonts w:eastAsia="Times New Roman"/>
                <w:color w:val="000000"/>
                <w:sz w:val="24"/>
              </w:rPr>
              <w:t>4</w:t>
            </w:r>
          </w:p>
        </w:tc>
        <w:tc>
          <w:tcPr>
            <w:tcW w:w="2268" w:type="dxa"/>
            <w:tcMar>
              <w:top w:w="15" w:type="dxa"/>
              <w:left w:w="15" w:type="dxa"/>
              <w:bottom w:w="0" w:type="dxa"/>
              <w:right w:w="15" w:type="dxa"/>
            </w:tcMar>
            <w:vAlign w:val="bottom"/>
          </w:tcPr>
          <w:p w:rsidR="00B63462" w:rsidRDefault="00243DE7">
            <w:pPr>
              <w:jc w:val="center"/>
              <w:rPr>
                <w:rFonts w:eastAsia="Times New Roman"/>
                <w:color w:val="000000"/>
                <w:sz w:val="24"/>
              </w:rPr>
            </w:pPr>
            <w:r>
              <w:rPr>
                <w:rFonts w:eastAsia="Times New Roman"/>
                <w:color w:val="000000"/>
                <w:sz w:val="24"/>
              </w:rPr>
              <w:t xml:space="preserve"> 18托克集团PPN001 </w:t>
            </w:r>
          </w:p>
        </w:tc>
        <w:tc>
          <w:tcPr>
            <w:tcW w:w="2835" w:type="dxa"/>
            <w:vAlign w:val="bottom"/>
          </w:tcPr>
          <w:p w:rsidR="00B63462" w:rsidRDefault="00243DE7">
            <w:pPr>
              <w:jc w:val="center"/>
              <w:rPr>
                <w:rFonts w:eastAsia="Times New Roman"/>
                <w:color w:val="000000"/>
                <w:sz w:val="24"/>
              </w:rPr>
            </w:pPr>
            <w:r>
              <w:rPr>
                <w:rFonts w:eastAsia="Times New Roman"/>
                <w:color w:val="000000"/>
                <w:sz w:val="24"/>
              </w:rPr>
              <w:t xml:space="preserve"> 8,080,456.95 </w:t>
            </w:r>
          </w:p>
        </w:tc>
        <w:tc>
          <w:tcPr>
            <w:tcW w:w="2835" w:type="dxa"/>
            <w:tcMar>
              <w:top w:w="15" w:type="dxa"/>
              <w:left w:w="15" w:type="dxa"/>
              <w:bottom w:w="0" w:type="dxa"/>
              <w:right w:w="15" w:type="dxa"/>
            </w:tcMar>
            <w:vAlign w:val="bottom"/>
          </w:tcPr>
          <w:p w:rsidR="00B63462" w:rsidRDefault="00243DE7">
            <w:pPr>
              <w:jc w:val="center"/>
              <w:rPr>
                <w:rFonts w:eastAsia="Times New Roman"/>
                <w:color w:val="000000"/>
                <w:sz w:val="24"/>
              </w:rPr>
            </w:pPr>
            <w:r>
              <w:rPr>
                <w:rFonts w:eastAsia="Times New Roman"/>
                <w:color w:val="000000"/>
                <w:sz w:val="24"/>
              </w:rPr>
              <w:t>8.18%</w:t>
            </w:r>
          </w:p>
        </w:tc>
      </w:tr>
      <w:tr w:rsidR="00B63462">
        <w:trPr>
          <w:trHeight w:val="232"/>
        </w:trPr>
        <w:tc>
          <w:tcPr>
            <w:tcW w:w="1139" w:type="dxa"/>
          </w:tcPr>
          <w:p w:rsidR="00B63462" w:rsidRDefault="00243DE7">
            <w:pPr>
              <w:jc w:val="center"/>
            </w:pPr>
            <w:r>
              <w:rPr>
                <w:rFonts w:eastAsia="Times New Roman"/>
                <w:color w:val="000000"/>
                <w:sz w:val="24"/>
              </w:rPr>
              <w:t>5</w:t>
            </w:r>
          </w:p>
        </w:tc>
        <w:tc>
          <w:tcPr>
            <w:tcW w:w="2268" w:type="dxa"/>
            <w:tcMar>
              <w:top w:w="15" w:type="dxa"/>
              <w:left w:w="15" w:type="dxa"/>
              <w:bottom w:w="0" w:type="dxa"/>
              <w:right w:w="15" w:type="dxa"/>
            </w:tcMar>
            <w:vAlign w:val="bottom"/>
          </w:tcPr>
          <w:p w:rsidR="00B63462" w:rsidRDefault="00243DE7">
            <w:pPr>
              <w:jc w:val="center"/>
              <w:rPr>
                <w:rFonts w:eastAsia="Times New Roman"/>
                <w:color w:val="000000"/>
                <w:sz w:val="24"/>
              </w:rPr>
            </w:pPr>
            <w:r>
              <w:rPr>
                <w:rFonts w:eastAsia="Times New Roman"/>
                <w:color w:val="000000"/>
                <w:sz w:val="24"/>
              </w:rPr>
              <w:t xml:space="preserve"> 19苏州高技PPN001 </w:t>
            </w:r>
          </w:p>
        </w:tc>
        <w:tc>
          <w:tcPr>
            <w:tcW w:w="2835" w:type="dxa"/>
            <w:vAlign w:val="bottom"/>
          </w:tcPr>
          <w:p w:rsidR="00B63462" w:rsidRDefault="00243DE7">
            <w:pPr>
              <w:jc w:val="center"/>
              <w:rPr>
                <w:rFonts w:eastAsia="Times New Roman"/>
                <w:color w:val="000000"/>
                <w:sz w:val="24"/>
              </w:rPr>
            </w:pPr>
            <w:r>
              <w:rPr>
                <w:rFonts w:eastAsia="Times New Roman"/>
                <w:color w:val="000000"/>
                <w:sz w:val="24"/>
              </w:rPr>
              <w:t xml:space="preserve"> 8,075,139.40 </w:t>
            </w:r>
          </w:p>
        </w:tc>
        <w:tc>
          <w:tcPr>
            <w:tcW w:w="2835" w:type="dxa"/>
            <w:tcMar>
              <w:top w:w="15" w:type="dxa"/>
              <w:left w:w="15" w:type="dxa"/>
              <w:bottom w:w="0" w:type="dxa"/>
              <w:right w:w="15" w:type="dxa"/>
            </w:tcMar>
            <w:vAlign w:val="bottom"/>
          </w:tcPr>
          <w:p w:rsidR="00B63462" w:rsidRDefault="00243DE7">
            <w:pPr>
              <w:jc w:val="center"/>
              <w:rPr>
                <w:rFonts w:eastAsia="Times New Roman"/>
                <w:color w:val="000000"/>
                <w:sz w:val="24"/>
              </w:rPr>
            </w:pPr>
            <w:r>
              <w:rPr>
                <w:rFonts w:eastAsia="Times New Roman"/>
                <w:color w:val="000000"/>
                <w:sz w:val="24"/>
              </w:rPr>
              <w:t>8.17%</w:t>
            </w:r>
          </w:p>
        </w:tc>
      </w:tr>
      <w:tr w:rsidR="00B63462">
        <w:tc>
          <w:tcPr>
            <w:tcW w:w="1139" w:type="dxa"/>
          </w:tcPr>
          <w:p w:rsidR="00B63462" w:rsidRDefault="00243DE7">
            <w:pPr>
              <w:jc w:val="center"/>
            </w:pPr>
            <w:r>
              <w:rPr>
                <w:rFonts w:eastAsia="Times New Roman"/>
                <w:color w:val="000000"/>
                <w:sz w:val="24"/>
              </w:rPr>
              <w:t>6</w:t>
            </w:r>
          </w:p>
        </w:tc>
        <w:tc>
          <w:tcPr>
            <w:tcW w:w="2268" w:type="dxa"/>
            <w:tcMar>
              <w:top w:w="15" w:type="dxa"/>
              <w:left w:w="15" w:type="dxa"/>
              <w:bottom w:w="0" w:type="dxa"/>
              <w:right w:w="15" w:type="dxa"/>
            </w:tcMar>
            <w:vAlign w:val="bottom"/>
          </w:tcPr>
          <w:p w:rsidR="00B63462" w:rsidRDefault="00243DE7">
            <w:pPr>
              <w:jc w:val="center"/>
              <w:rPr>
                <w:rFonts w:eastAsia="Times New Roman"/>
                <w:color w:val="000000"/>
                <w:sz w:val="24"/>
              </w:rPr>
            </w:pPr>
            <w:r>
              <w:rPr>
                <w:rFonts w:eastAsia="Times New Roman"/>
                <w:color w:val="000000"/>
                <w:sz w:val="24"/>
              </w:rPr>
              <w:t xml:space="preserve"> 18吴江城投PPN003 </w:t>
            </w:r>
          </w:p>
        </w:tc>
        <w:tc>
          <w:tcPr>
            <w:tcW w:w="2835" w:type="dxa"/>
            <w:vAlign w:val="bottom"/>
          </w:tcPr>
          <w:p w:rsidR="00B63462" w:rsidRDefault="00243DE7">
            <w:pPr>
              <w:jc w:val="center"/>
              <w:rPr>
                <w:rFonts w:eastAsia="Times New Roman"/>
                <w:color w:val="000000"/>
                <w:sz w:val="24"/>
              </w:rPr>
            </w:pPr>
            <w:r>
              <w:rPr>
                <w:rFonts w:eastAsia="Times New Roman"/>
                <w:color w:val="000000"/>
                <w:sz w:val="24"/>
              </w:rPr>
              <w:t xml:space="preserve"> 8,063,200.00 </w:t>
            </w:r>
          </w:p>
        </w:tc>
        <w:tc>
          <w:tcPr>
            <w:tcW w:w="2835" w:type="dxa"/>
            <w:tcMar>
              <w:top w:w="15" w:type="dxa"/>
              <w:left w:w="15" w:type="dxa"/>
              <w:bottom w:w="0" w:type="dxa"/>
              <w:right w:w="15" w:type="dxa"/>
            </w:tcMar>
            <w:vAlign w:val="bottom"/>
          </w:tcPr>
          <w:p w:rsidR="00B63462" w:rsidRDefault="00243DE7">
            <w:pPr>
              <w:jc w:val="center"/>
              <w:rPr>
                <w:rFonts w:eastAsia="Times New Roman"/>
                <w:color w:val="000000"/>
                <w:sz w:val="24"/>
              </w:rPr>
            </w:pPr>
            <w:r>
              <w:rPr>
                <w:rFonts w:eastAsia="Times New Roman"/>
                <w:color w:val="000000"/>
                <w:sz w:val="24"/>
              </w:rPr>
              <w:t>8.16%</w:t>
            </w:r>
          </w:p>
        </w:tc>
      </w:tr>
      <w:tr w:rsidR="00B63462">
        <w:tc>
          <w:tcPr>
            <w:tcW w:w="1139" w:type="dxa"/>
          </w:tcPr>
          <w:p w:rsidR="00B63462" w:rsidRDefault="00243DE7">
            <w:pPr>
              <w:jc w:val="center"/>
            </w:pPr>
            <w:r>
              <w:rPr>
                <w:rFonts w:eastAsia="Times New Roman"/>
                <w:color w:val="000000"/>
                <w:sz w:val="24"/>
              </w:rPr>
              <w:t>7</w:t>
            </w:r>
          </w:p>
        </w:tc>
        <w:tc>
          <w:tcPr>
            <w:tcW w:w="2268" w:type="dxa"/>
            <w:tcMar>
              <w:top w:w="15" w:type="dxa"/>
              <w:left w:w="15" w:type="dxa"/>
              <w:bottom w:w="0" w:type="dxa"/>
              <w:right w:w="15" w:type="dxa"/>
            </w:tcMar>
            <w:vAlign w:val="bottom"/>
          </w:tcPr>
          <w:p w:rsidR="00B63462" w:rsidRDefault="00243DE7">
            <w:pPr>
              <w:jc w:val="center"/>
              <w:rPr>
                <w:rFonts w:eastAsia="Times New Roman"/>
                <w:color w:val="000000"/>
                <w:sz w:val="24"/>
              </w:rPr>
            </w:pPr>
            <w:r>
              <w:rPr>
                <w:rFonts w:eastAsia="Times New Roman"/>
                <w:color w:val="000000"/>
                <w:sz w:val="24"/>
              </w:rPr>
              <w:t xml:space="preserve"> 19江宁城建PPN001 </w:t>
            </w:r>
          </w:p>
        </w:tc>
        <w:tc>
          <w:tcPr>
            <w:tcW w:w="2835" w:type="dxa"/>
            <w:vAlign w:val="bottom"/>
          </w:tcPr>
          <w:p w:rsidR="00B63462" w:rsidRDefault="00243DE7">
            <w:pPr>
              <w:jc w:val="center"/>
              <w:rPr>
                <w:rFonts w:eastAsia="Times New Roman"/>
                <w:color w:val="000000"/>
                <w:sz w:val="24"/>
              </w:rPr>
            </w:pPr>
            <w:r>
              <w:rPr>
                <w:rFonts w:eastAsia="Times New Roman"/>
                <w:color w:val="000000"/>
                <w:sz w:val="24"/>
              </w:rPr>
              <w:t xml:space="preserve"> 8,040,000.00 </w:t>
            </w:r>
          </w:p>
        </w:tc>
        <w:tc>
          <w:tcPr>
            <w:tcW w:w="2835" w:type="dxa"/>
            <w:tcMar>
              <w:top w:w="15" w:type="dxa"/>
              <w:left w:w="15" w:type="dxa"/>
              <w:bottom w:w="0" w:type="dxa"/>
              <w:right w:w="15" w:type="dxa"/>
            </w:tcMar>
            <w:vAlign w:val="bottom"/>
          </w:tcPr>
          <w:p w:rsidR="00B63462" w:rsidRDefault="00243DE7">
            <w:pPr>
              <w:jc w:val="center"/>
              <w:rPr>
                <w:rFonts w:eastAsia="Times New Roman"/>
                <w:color w:val="000000"/>
                <w:sz w:val="24"/>
              </w:rPr>
            </w:pPr>
            <w:r>
              <w:rPr>
                <w:rFonts w:eastAsia="Times New Roman"/>
                <w:color w:val="000000"/>
                <w:sz w:val="24"/>
              </w:rPr>
              <w:t>8.14%</w:t>
            </w:r>
          </w:p>
        </w:tc>
      </w:tr>
      <w:tr w:rsidR="00B63462">
        <w:tc>
          <w:tcPr>
            <w:tcW w:w="1139" w:type="dxa"/>
          </w:tcPr>
          <w:p w:rsidR="00B63462" w:rsidRDefault="00243DE7">
            <w:pPr>
              <w:jc w:val="center"/>
            </w:pPr>
            <w:r>
              <w:rPr>
                <w:rFonts w:eastAsia="Times New Roman"/>
                <w:color w:val="000000"/>
                <w:sz w:val="24"/>
              </w:rPr>
              <w:t>8</w:t>
            </w:r>
          </w:p>
        </w:tc>
        <w:tc>
          <w:tcPr>
            <w:tcW w:w="2268" w:type="dxa"/>
            <w:tcMar>
              <w:top w:w="15" w:type="dxa"/>
              <w:left w:w="15" w:type="dxa"/>
              <w:bottom w:w="0" w:type="dxa"/>
              <w:right w:w="15" w:type="dxa"/>
            </w:tcMar>
            <w:vAlign w:val="bottom"/>
          </w:tcPr>
          <w:p w:rsidR="00B63462" w:rsidRDefault="00243DE7">
            <w:pPr>
              <w:jc w:val="center"/>
              <w:rPr>
                <w:rFonts w:eastAsia="Times New Roman"/>
                <w:color w:val="000000"/>
                <w:sz w:val="24"/>
              </w:rPr>
            </w:pPr>
            <w:r>
              <w:rPr>
                <w:rFonts w:eastAsia="Times New Roman"/>
                <w:color w:val="000000"/>
                <w:sz w:val="24"/>
              </w:rPr>
              <w:t xml:space="preserve"> 20碧水源CP003 </w:t>
            </w:r>
          </w:p>
        </w:tc>
        <w:tc>
          <w:tcPr>
            <w:tcW w:w="2835" w:type="dxa"/>
            <w:vAlign w:val="bottom"/>
          </w:tcPr>
          <w:p w:rsidR="00B63462" w:rsidRDefault="00243DE7">
            <w:pPr>
              <w:jc w:val="center"/>
              <w:rPr>
                <w:rFonts w:eastAsia="Times New Roman"/>
                <w:color w:val="000000"/>
                <w:sz w:val="24"/>
              </w:rPr>
            </w:pPr>
            <w:r>
              <w:rPr>
                <w:rFonts w:eastAsia="Times New Roman"/>
                <w:color w:val="000000"/>
                <w:sz w:val="24"/>
              </w:rPr>
              <w:t xml:space="preserve"> 8,023,200.00 </w:t>
            </w:r>
          </w:p>
        </w:tc>
        <w:tc>
          <w:tcPr>
            <w:tcW w:w="2835" w:type="dxa"/>
            <w:tcMar>
              <w:top w:w="15" w:type="dxa"/>
              <w:left w:w="15" w:type="dxa"/>
              <w:bottom w:w="0" w:type="dxa"/>
              <w:right w:w="15" w:type="dxa"/>
            </w:tcMar>
            <w:vAlign w:val="bottom"/>
          </w:tcPr>
          <w:p w:rsidR="00B63462" w:rsidRDefault="00243DE7">
            <w:pPr>
              <w:jc w:val="center"/>
              <w:rPr>
                <w:rFonts w:eastAsia="Times New Roman"/>
                <w:color w:val="000000"/>
                <w:sz w:val="24"/>
              </w:rPr>
            </w:pPr>
            <w:r>
              <w:rPr>
                <w:rFonts w:eastAsia="Times New Roman"/>
                <w:color w:val="000000"/>
                <w:sz w:val="24"/>
              </w:rPr>
              <w:t>8.12%</w:t>
            </w:r>
          </w:p>
        </w:tc>
      </w:tr>
      <w:tr w:rsidR="00B63462">
        <w:tc>
          <w:tcPr>
            <w:tcW w:w="1139" w:type="dxa"/>
          </w:tcPr>
          <w:p w:rsidR="00B63462" w:rsidRDefault="00243DE7">
            <w:pPr>
              <w:jc w:val="center"/>
            </w:pPr>
            <w:r>
              <w:rPr>
                <w:rFonts w:eastAsia="Times New Roman"/>
                <w:color w:val="000000"/>
                <w:sz w:val="24"/>
              </w:rPr>
              <w:t>9</w:t>
            </w:r>
          </w:p>
        </w:tc>
        <w:tc>
          <w:tcPr>
            <w:tcW w:w="2268" w:type="dxa"/>
            <w:tcMar>
              <w:top w:w="15" w:type="dxa"/>
              <w:left w:w="15" w:type="dxa"/>
              <w:bottom w:w="0" w:type="dxa"/>
              <w:right w:w="15" w:type="dxa"/>
            </w:tcMar>
            <w:vAlign w:val="bottom"/>
          </w:tcPr>
          <w:p w:rsidR="00B63462" w:rsidRDefault="00243DE7">
            <w:pPr>
              <w:jc w:val="center"/>
              <w:rPr>
                <w:rFonts w:eastAsia="Times New Roman"/>
                <w:color w:val="000000"/>
                <w:sz w:val="24"/>
              </w:rPr>
            </w:pPr>
            <w:r>
              <w:rPr>
                <w:rFonts w:eastAsia="Times New Roman"/>
                <w:color w:val="000000"/>
                <w:sz w:val="24"/>
              </w:rPr>
              <w:t xml:space="preserve"> 20前海熙和ABN001优先 </w:t>
            </w:r>
          </w:p>
        </w:tc>
        <w:tc>
          <w:tcPr>
            <w:tcW w:w="2835" w:type="dxa"/>
            <w:vAlign w:val="bottom"/>
          </w:tcPr>
          <w:p w:rsidR="00B63462" w:rsidRDefault="00243DE7">
            <w:pPr>
              <w:jc w:val="center"/>
              <w:rPr>
                <w:rFonts w:eastAsia="Times New Roman"/>
                <w:color w:val="000000"/>
                <w:sz w:val="24"/>
              </w:rPr>
            </w:pPr>
            <w:r>
              <w:rPr>
                <w:rFonts w:eastAsia="Times New Roman"/>
                <w:color w:val="000000"/>
                <w:sz w:val="24"/>
              </w:rPr>
              <w:t xml:space="preserve"> 7,992,823.12 </w:t>
            </w:r>
          </w:p>
        </w:tc>
        <w:tc>
          <w:tcPr>
            <w:tcW w:w="2835" w:type="dxa"/>
            <w:tcMar>
              <w:top w:w="15" w:type="dxa"/>
              <w:left w:w="15" w:type="dxa"/>
              <w:bottom w:w="0" w:type="dxa"/>
              <w:right w:w="15" w:type="dxa"/>
            </w:tcMar>
            <w:vAlign w:val="bottom"/>
          </w:tcPr>
          <w:p w:rsidR="00B63462" w:rsidRDefault="00243DE7">
            <w:pPr>
              <w:jc w:val="center"/>
              <w:rPr>
                <w:rFonts w:eastAsia="Times New Roman"/>
                <w:color w:val="000000"/>
                <w:sz w:val="24"/>
              </w:rPr>
            </w:pPr>
            <w:r>
              <w:rPr>
                <w:rFonts w:eastAsia="Times New Roman"/>
                <w:color w:val="000000"/>
                <w:sz w:val="24"/>
              </w:rPr>
              <w:t>8.09%</w:t>
            </w:r>
          </w:p>
        </w:tc>
      </w:tr>
      <w:tr w:rsidR="00B63462">
        <w:tc>
          <w:tcPr>
            <w:tcW w:w="1139" w:type="dxa"/>
          </w:tcPr>
          <w:p w:rsidR="00B63462" w:rsidRDefault="00243DE7">
            <w:pPr>
              <w:jc w:val="center"/>
            </w:pPr>
            <w:r>
              <w:rPr>
                <w:rFonts w:eastAsia="Times New Roman"/>
                <w:color w:val="000000"/>
                <w:sz w:val="24"/>
              </w:rPr>
              <w:t>10</w:t>
            </w:r>
          </w:p>
        </w:tc>
        <w:tc>
          <w:tcPr>
            <w:tcW w:w="2268" w:type="dxa"/>
            <w:tcMar>
              <w:top w:w="15" w:type="dxa"/>
              <w:left w:w="15" w:type="dxa"/>
              <w:bottom w:w="0" w:type="dxa"/>
              <w:right w:w="15" w:type="dxa"/>
            </w:tcMar>
            <w:vAlign w:val="bottom"/>
          </w:tcPr>
          <w:p w:rsidR="00B63462" w:rsidRDefault="00243DE7">
            <w:pPr>
              <w:jc w:val="center"/>
              <w:rPr>
                <w:rFonts w:eastAsia="Times New Roman"/>
                <w:color w:val="000000"/>
                <w:sz w:val="24"/>
              </w:rPr>
            </w:pPr>
            <w:r>
              <w:rPr>
                <w:rFonts w:eastAsia="Times New Roman"/>
                <w:color w:val="000000"/>
                <w:sz w:val="24"/>
              </w:rPr>
              <w:t xml:space="preserve"> 20九州通(</w:t>
            </w:r>
            <w:proofErr w:type="spellStart"/>
            <w:r>
              <w:rPr>
                <w:rFonts w:eastAsia="Times New Roman"/>
                <w:color w:val="000000"/>
                <w:sz w:val="24"/>
              </w:rPr>
              <w:t>疫情防控债</w:t>
            </w:r>
            <w:proofErr w:type="spellEnd"/>
            <w:r>
              <w:rPr>
                <w:rFonts w:eastAsia="Times New Roman"/>
                <w:color w:val="000000"/>
                <w:sz w:val="24"/>
              </w:rPr>
              <w:t xml:space="preserve">)SCP002 </w:t>
            </w:r>
          </w:p>
        </w:tc>
        <w:tc>
          <w:tcPr>
            <w:tcW w:w="2835" w:type="dxa"/>
            <w:vAlign w:val="bottom"/>
          </w:tcPr>
          <w:p w:rsidR="00B63462" w:rsidRDefault="00243DE7">
            <w:pPr>
              <w:jc w:val="center"/>
              <w:rPr>
                <w:rFonts w:eastAsia="Times New Roman"/>
                <w:color w:val="000000"/>
                <w:sz w:val="24"/>
              </w:rPr>
            </w:pPr>
            <w:r>
              <w:rPr>
                <w:rFonts w:eastAsia="Times New Roman"/>
                <w:color w:val="000000"/>
                <w:sz w:val="24"/>
              </w:rPr>
              <w:t xml:space="preserve"> 7,986,844.06 </w:t>
            </w:r>
          </w:p>
        </w:tc>
        <w:tc>
          <w:tcPr>
            <w:tcW w:w="2835" w:type="dxa"/>
            <w:tcMar>
              <w:top w:w="15" w:type="dxa"/>
              <w:left w:w="15" w:type="dxa"/>
              <w:bottom w:w="0" w:type="dxa"/>
              <w:right w:w="15" w:type="dxa"/>
            </w:tcMar>
            <w:vAlign w:val="bottom"/>
          </w:tcPr>
          <w:p w:rsidR="00B63462" w:rsidRDefault="00243DE7">
            <w:pPr>
              <w:jc w:val="center"/>
              <w:rPr>
                <w:rFonts w:eastAsia="Times New Roman"/>
                <w:color w:val="000000"/>
                <w:sz w:val="24"/>
              </w:rPr>
            </w:pPr>
            <w:r>
              <w:rPr>
                <w:rFonts w:eastAsia="Times New Roman"/>
                <w:color w:val="000000"/>
                <w:sz w:val="24"/>
              </w:rPr>
              <w:t>8.08%</w:t>
            </w:r>
          </w:p>
        </w:tc>
      </w:tr>
    </w:tbl>
    <w:p w:rsidR="00B63462" w:rsidRDefault="00B63462">
      <w:pPr>
        <w:rPr>
          <w:rFonts w:ascii="仿宋_GB2312" w:eastAsia="仿宋_GB2312" w:hAnsi="Calibri"/>
          <w:sz w:val="24"/>
          <w:szCs w:val="24"/>
        </w:rPr>
      </w:pPr>
    </w:p>
    <w:p w:rsidR="00B63462" w:rsidRDefault="00243DE7">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w:t>
      </w:r>
      <w:r>
        <w:rPr>
          <w:rFonts w:ascii="仿宋_GB2312" w:eastAsia="仿宋_GB2312" w:hAnsiTheme="minorEastAsia"/>
          <w:b/>
          <w:bCs/>
          <w:sz w:val="24"/>
          <w:szCs w:val="24"/>
        </w:rPr>
        <w:t>报告期末非标准化债权</w:t>
      </w:r>
      <w:r>
        <w:rPr>
          <w:rStyle w:val="a8"/>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B63462">
        <w:tc>
          <w:tcPr>
            <w:tcW w:w="852" w:type="dxa"/>
            <w:vAlign w:val="center"/>
          </w:tcPr>
          <w:p w:rsidR="00B63462" w:rsidRDefault="00243DE7">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B63462" w:rsidRDefault="00243DE7">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融资客户</w:t>
            </w:r>
          </w:p>
        </w:tc>
        <w:tc>
          <w:tcPr>
            <w:tcW w:w="1312" w:type="dxa"/>
            <w:vAlign w:val="center"/>
          </w:tcPr>
          <w:p w:rsidR="00B63462" w:rsidRDefault="00243DE7">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资产名称</w:t>
            </w:r>
          </w:p>
        </w:tc>
        <w:tc>
          <w:tcPr>
            <w:tcW w:w="1382" w:type="dxa"/>
            <w:vAlign w:val="center"/>
          </w:tcPr>
          <w:p w:rsidR="00B63462" w:rsidRDefault="00243DE7">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剩余融资期限</w:t>
            </w:r>
          </w:p>
        </w:tc>
        <w:tc>
          <w:tcPr>
            <w:tcW w:w="1419" w:type="dxa"/>
            <w:vAlign w:val="center"/>
          </w:tcPr>
          <w:p w:rsidR="00B63462" w:rsidRDefault="00243DE7">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交易结构</w:t>
            </w:r>
          </w:p>
        </w:tc>
        <w:tc>
          <w:tcPr>
            <w:tcW w:w="2972" w:type="dxa"/>
            <w:vAlign w:val="center"/>
          </w:tcPr>
          <w:p w:rsidR="00B63462" w:rsidRDefault="00243DE7">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B63462">
        <w:tc>
          <w:tcPr>
            <w:tcW w:w="852" w:type="dxa"/>
            <w:vAlign w:val="center"/>
          </w:tcPr>
          <w:p w:rsidR="00B63462" w:rsidRDefault="00243DE7">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B63462" w:rsidRDefault="00243DE7">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B63462" w:rsidRDefault="00243DE7">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B63462" w:rsidRDefault="00243DE7">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B63462" w:rsidRDefault="00243DE7">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B63462" w:rsidRDefault="00243DE7">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B63462" w:rsidRDefault="00243DE7">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w:t>
      </w:r>
      <w:r>
        <w:rPr>
          <w:rFonts w:ascii="仿宋_GB2312" w:eastAsia="仿宋_GB2312" w:hAnsiTheme="minorEastAsia"/>
          <w:bCs/>
          <w:sz w:val="24"/>
          <w:szCs w:val="24"/>
        </w:rPr>
        <w:t>截至期末，上述非标准化债权均按照合同约定按时分配收益；</w:t>
      </w:r>
    </w:p>
    <w:p w:rsidR="00B63462" w:rsidRDefault="00243DE7">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w:t>
      </w:r>
      <w:r>
        <w:rPr>
          <w:rFonts w:ascii="仿宋_GB2312" w:eastAsia="仿宋_GB2312" w:hAnsiTheme="minorEastAsia"/>
          <w:bCs/>
          <w:sz w:val="24"/>
          <w:szCs w:val="24"/>
        </w:rPr>
        <w:t>截至期末，上述非标准化债权未出现无法履行本金及收益兑付的实际情况。</w:t>
      </w:r>
    </w:p>
    <w:p w:rsidR="00B63462" w:rsidRDefault="00243DE7">
      <w:pPr>
        <w:snapToGrid w:val="0"/>
        <w:spacing w:line="360" w:lineRule="auto"/>
        <w:rPr>
          <w:rFonts w:ascii="仿宋_GB2312" w:eastAsia="仿宋_GB2312"/>
          <w:b/>
          <w:sz w:val="24"/>
          <w:szCs w:val="24"/>
        </w:rPr>
      </w:pPr>
      <w:r>
        <w:rPr>
          <w:rFonts w:ascii="仿宋_GB2312" w:eastAsia="仿宋_GB2312" w:hint="eastAsia"/>
          <w:b/>
          <w:sz w:val="24"/>
          <w:szCs w:val="24"/>
        </w:rPr>
        <w:t>5</w:t>
      </w:r>
      <w:r>
        <w:rPr>
          <w:rFonts w:ascii="仿宋_GB2312" w:eastAsia="仿宋_GB2312"/>
          <w:b/>
          <w:sz w:val="24"/>
          <w:szCs w:val="24"/>
        </w:rPr>
        <w:t> </w:t>
      </w:r>
      <w:r>
        <w:rPr>
          <w:rFonts w:ascii="仿宋_GB2312" w:eastAsia="仿宋_GB2312" w:hint="eastAsia"/>
          <w:b/>
          <w:sz w:val="24"/>
          <w:szCs w:val="24"/>
        </w:rPr>
        <w:t>.</w:t>
      </w:r>
      <w:r>
        <w:rPr>
          <w:rFonts w:ascii="仿宋_GB2312" w:eastAsia="仿宋_GB2312" w:hint="eastAsia"/>
          <w:b/>
          <w:sz w:val="24"/>
          <w:szCs w:val="24"/>
        </w:rPr>
        <w:t>关联交易（如有）</w:t>
      </w:r>
    </w:p>
    <w:tbl>
      <w:tblPr>
        <w:tblStyle w:val="a9"/>
        <w:tblW w:w="9180" w:type="dxa"/>
        <w:tblLayout w:type="fixed"/>
        <w:tblLook w:val="04A0" w:firstRow="1" w:lastRow="0" w:firstColumn="1" w:lastColumn="0" w:noHBand="0" w:noVBand="1"/>
      </w:tblPr>
      <w:tblGrid>
        <w:gridCol w:w="1101"/>
        <w:gridCol w:w="1694"/>
        <w:gridCol w:w="857"/>
        <w:gridCol w:w="1134"/>
        <w:gridCol w:w="1276"/>
        <w:gridCol w:w="3118"/>
      </w:tblGrid>
      <w:tr w:rsidR="00B63462">
        <w:tc>
          <w:tcPr>
            <w:tcW w:w="1101" w:type="dxa"/>
            <w:tcBorders>
              <w:top w:val="single" w:sz="4" w:space="0" w:color="auto"/>
              <w:left w:val="single" w:sz="4" w:space="0" w:color="auto"/>
              <w:bottom w:val="single" w:sz="4" w:space="0" w:color="auto"/>
              <w:right w:val="single" w:sz="4" w:space="0" w:color="auto"/>
            </w:tcBorders>
          </w:tcPr>
          <w:p w:rsidR="00B63462" w:rsidRDefault="00243DE7">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序号</w:t>
            </w:r>
          </w:p>
        </w:tc>
        <w:tc>
          <w:tcPr>
            <w:tcW w:w="1694" w:type="dxa"/>
            <w:tcBorders>
              <w:top w:val="single" w:sz="4" w:space="0" w:color="auto"/>
              <w:left w:val="single" w:sz="4" w:space="0" w:color="auto"/>
              <w:bottom w:val="single" w:sz="4" w:space="0" w:color="auto"/>
              <w:right w:val="single" w:sz="4" w:space="0" w:color="auto"/>
            </w:tcBorders>
          </w:tcPr>
          <w:p w:rsidR="00B63462" w:rsidRDefault="00243DE7">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tcPr>
          <w:p w:rsidR="00B63462" w:rsidRDefault="00243DE7">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规模</w:t>
            </w:r>
          </w:p>
        </w:tc>
        <w:tc>
          <w:tcPr>
            <w:tcW w:w="1134" w:type="dxa"/>
            <w:tcBorders>
              <w:top w:val="single" w:sz="4" w:space="0" w:color="auto"/>
              <w:left w:val="single" w:sz="4" w:space="0" w:color="auto"/>
              <w:bottom w:val="single" w:sz="4" w:space="0" w:color="auto"/>
              <w:right w:val="single" w:sz="4" w:space="0" w:color="auto"/>
            </w:tcBorders>
          </w:tcPr>
          <w:p w:rsidR="00B63462" w:rsidRDefault="00243DE7">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占比</w:t>
            </w:r>
          </w:p>
        </w:tc>
        <w:tc>
          <w:tcPr>
            <w:tcW w:w="1276" w:type="dxa"/>
            <w:tcBorders>
              <w:top w:val="single" w:sz="4" w:space="0" w:color="auto"/>
              <w:left w:val="single" w:sz="4" w:space="0" w:color="auto"/>
              <w:bottom w:val="single" w:sz="4" w:space="0" w:color="auto"/>
              <w:right w:val="single" w:sz="4" w:space="0" w:color="auto"/>
            </w:tcBorders>
          </w:tcPr>
          <w:p w:rsidR="00B63462" w:rsidRDefault="00243DE7">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tcPr>
          <w:p w:rsidR="00B63462" w:rsidRDefault="00243DE7">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关联方与本理财产品关联关系</w:t>
            </w:r>
          </w:p>
        </w:tc>
      </w:tr>
      <w:tr w:rsidR="00B63462">
        <w:tc>
          <w:tcPr>
            <w:tcW w:w="1101" w:type="dxa"/>
            <w:tcBorders>
              <w:top w:val="single" w:sz="4" w:space="0" w:color="auto"/>
              <w:left w:val="single" w:sz="4" w:space="0" w:color="auto"/>
              <w:bottom w:val="single" w:sz="4" w:space="0" w:color="auto"/>
              <w:right w:val="single" w:sz="4" w:space="0" w:color="auto"/>
            </w:tcBorders>
          </w:tcPr>
          <w:p w:rsidR="00B63462" w:rsidRDefault="00243DE7">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lastRenderedPageBreak/>
              <w:t>1</w:t>
            </w:r>
          </w:p>
        </w:tc>
        <w:tc>
          <w:tcPr>
            <w:tcW w:w="1694" w:type="dxa"/>
            <w:tcBorders>
              <w:top w:val="single" w:sz="4" w:space="0" w:color="auto"/>
              <w:left w:val="single" w:sz="4" w:space="0" w:color="auto"/>
              <w:bottom w:val="single" w:sz="4" w:space="0" w:color="auto"/>
              <w:right w:val="single" w:sz="4" w:space="0" w:color="auto"/>
            </w:tcBorders>
          </w:tcPr>
          <w:p w:rsidR="00B63462" w:rsidRDefault="00B63462">
            <w:pPr>
              <w:kinsoku w:val="0"/>
              <w:overflowPunct w:val="0"/>
              <w:autoSpaceDE w:val="0"/>
              <w:autoSpaceDN w:val="0"/>
              <w:spacing w:line="300" w:lineRule="auto"/>
              <w:jc w:val="center"/>
              <w:rPr>
                <w:rFonts w:ascii="仿宋_GB2312" w:eastAsia="仿宋_GB2312" w:hAnsiTheme="minorEastAsia"/>
                <w:sz w:val="24"/>
                <w:szCs w:val="24"/>
              </w:rPr>
            </w:pPr>
          </w:p>
        </w:tc>
        <w:tc>
          <w:tcPr>
            <w:tcW w:w="857" w:type="dxa"/>
            <w:tcBorders>
              <w:top w:val="single" w:sz="4" w:space="0" w:color="auto"/>
              <w:left w:val="single" w:sz="4" w:space="0" w:color="auto"/>
              <w:bottom w:val="single" w:sz="4" w:space="0" w:color="auto"/>
              <w:right w:val="single" w:sz="4" w:space="0" w:color="auto"/>
            </w:tcBorders>
          </w:tcPr>
          <w:p w:rsidR="00B63462" w:rsidRDefault="00B63462">
            <w:pPr>
              <w:kinsoku w:val="0"/>
              <w:overflowPunct w:val="0"/>
              <w:autoSpaceDE w:val="0"/>
              <w:autoSpaceDN w:val="0"/>
              <w:spacing w:line="300" w:lineRule="auto"/>
              <w:jc w:val="cente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B63462" w:rsidRDefault="00B63462">
            <w:pPr>
              <w:kinsoku w:val="0"/>
              <w:overflowPunct w:val="0"/>
              <w:autoSpaceDE w:val="0"/>
              <w:autoSpaceDN w:val="0"/>
              <w:spacing w:line="300" w:lineRule="auto"/>
              <w:jc w:val="center"/>
              <w:rPr>
                <w:rFonts w:ascii="仿宋_GB2312" w:eastAsia="仿宋_GB2312"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B63462" w:rsidRDefault="00B63462">
            <w:pPr>
              <w:kinsoku w:val="0"/>
              <w:overflowPunct w:val="0"/>
              <w:autoSpaceDE w:val="0"/>
              <w:autoSpaceDN w:val="0"/>
              <w:spacing w:line="300" w:lineRule="auto"/>
              <w:jc w:val="center"/>
              <w:rPr>
                <w:rFonts w:ascii="仿宋_GB2312" w:eastAsia="仿宋_GB2312" w:hAnsiTheme="minorEastAsia"/>
                <w:sz w:val="24"/>
                <w:szCs w:val="24"/>
              </w:rPr>
            </w:pPr>
          </w:p>
        </w:tc>
        <w:tc>
          <w:tcPr>
            <w:tcW w:w="3118" w:type="dxa"/>
            <w:tcBorders>
              <w:top w:val="single" w:sz="4" w:space="0" w:color="auto"/>
              <w:left w:val="single" w:sz="4" w:space="0" w:color="auto"/>
              <w:bottom w:val="single" w:sz="4" w:space="0" w:color="auto"/>
              <w:right w:val="single" w:sz="4" w:space="0" w:color="auto"/>
            </w:tcBorders>
          </w:tcPr>
          <w:p w:rsidR="00B63462" w:rsidRDefault="00B63462">
            <w:pPr>
              <w:kinsoku w:val="0"/>
              <w:overflowPunct w:val="0"/>
              <w:autoSpaceDE w:val="0"/>
              <w:autoSpaceDN w:val="0"/>
              <w:spacing w:line="300" w:lineRule="auto"/>
              <w:jc w:val="center"/>
              <w:rPr>
                <w:rFonts w:ascii="仿宋_GB2312" w:eastAsia="仿宋_GB2312" w:hAnsiTheme="minorEastAsia"/>
                <w:sz w:val="24"/>
                <w:szCs w:val="24"/>
              </w:rPr>
            </w:pPr>
          </w:p>
        </w:tc>
      </w:tr>
      <w:tr w:rsidR="00B63462">
        <w:tc>
          <w:tcPr>
            <w:tcW w:w="1101" w:type="dxa"/>
            <w:tcBorders>
              <w:top w:val="single" w:sz="4" w:space="0" w:color="auto"/>
              <w:left w:val="single" w:sz="4" w:space="0" w:color="auto"/>
              <w:bottom w:val="single" w:sz="4" w:space="0" w:color="auto"/>
              <w:right w:val="single" w:sz="4" w:space="0" w:color="auto"/>
            </w:tcBorders>
          </w:tcPr>
          <w:p w:rsidR="00B63462" w:rsidRDefault="00243DE7">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2</w:t>
            </w:r>
          </w:p>
        </w:tc>
        <w:tc>
          <w:tcPr>
            <w:tcW w:w="1694" w:type="dxa"/>
            <w:tcBorders>
              <w:top w:val="single" w:sz="4" w:space="0" w:color="auto"/>
              <w:left w:val="single" w:sz="4" w:space="0" w:color="auto"/>
              <w:bottom w:val="single" w:sz="4" w:space="0" w:color="auto"/>
              <w:right w:val="single" w:sz="4" w:space="0" w:color="auto"/>
            </w:tcBorders>
          </w:tcPr>
          <w:p w:rsidR="00B63462" w:rsidRDefault="00B63462">
            <w:pPr>
              <w:kinsoku w:val="0"/>
              <w:overflowPunct w:val="0"/>
              <w:autoSpaceDE w:val="0"/>
              <w:autoSpaceDN w:val="0"/>
              <w:spacing w:line="300" w:lineRule="auto"/>
              <w:jc w:val="center"/>
              <w:rPr>
                <w:rFonts w:ascii="仿宋_GB2312" w:eastAsia="仿宋_GB2312" w:hAnsiTheme="minorEastAsia"/>
                <w:sz w:val="24"/>
                <w:szCs w:val="24"/>
              </w:rPr>
            </w:pPr>
          </w:p>
        </w:tc>
        <w:tc>
          <w:tcPr>
            <w:tcW w:w="857" w:type="dxa"/>
            <w:tcBorders>
              <w:top w:val="single" w:sz="4" w:space="0" w:color="auto"/>
              <w:left w:val="single" w:sz="4" w:space="0" w:color="auto"/>
              <w:bottom w:val="single" w:sz="4" w:space="0" w:color="auto"/>
              <w:right w:val="single" w:sz="4" w:space="0" w:color="auto"/>
            </w:tcBorders>
          </w:tcPr>
          <w:p w:rsidR="00B63462" w:rsidRDefault="00B63462">
            <w:pPr>
              <w:kinsoku w:val="0"/>
              <w:overflowPunct w:val="0"/>
              <w:autoSpaceDE w:val="0"/>
              <w:autoSpaceDN w:val="0"/>
              <w:spacing w:line="300" w:lineRule="auto"/>
              <w:jc w:val="cente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B63462" w:rsidRDefault="00B63462">
            <w:pPr>
              <w:kinsoku w:val="0"/>
              <w:overflowPunct w:val="0"/>
              <w:autoSpaceDE w:val="0"/>
              <w:autoSpaceDN w:val="0"/>
              <w:spacing w:line="300" w:lineRule="auto"/>
              <w:jc w:val="center"/>
              <w:rPr>
                <w:rFonts w:ascii="仿宋_GB2312" w:eastAsia="仿宋_GB2312"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B63462" w:rsidRDefault="00B63462">
            <w:pPr>
              <w:kinsoku w:val="0"/>
              <w:overflowPunct w:val="0"/>
              <w:autoSpaceDE w:val="0"/>
              <w:autoSpaceDN w:val="0"/>
              <w:spacing w:line="300" w:lineRule="auto"/>
              <w:jc w:val="center"/>
              <w:rPr>
                <w:rFonts w:ascii="仿宋_GB2312" w:eastAsia="仿宋_GB2312" w:hAnsiTheme="minorEastAsia"/>
                <w:sz w:val="24"/>
                <w:szCs w:val="24"/>
              </w:rPr>
            </w:pPr>
          </w:p>
        </w:tc>
        <w:tc>
          <w:tcPr>
            <w:tcW w:w="3118" w:type="dxa"/>
            <w:tcBorders>
              <w:top w:val="single" w:sz="4" w:space="0" w:color="auto"/>
              <w:left w:val="single" w:sz="4" w:space="0" w:color="auto"/>
              <w:bottom w:val="single" w:sz="4" w:space="0" w:color="auto"/>
              <w:right w:val="single" w:sz="4" w:space="0" w:color="auto"/>
            </w:tcBorders>
          </w:tcPr>
          <w:p w:rsidR="00B63462" w:rsidRDefault="00B63462">
            <w:pPr>
              <w:kinsoku w:val="0"/>
              <w:overflowPunct w:val="0"/>
              <w:autoSpaceDE w:val="0"/>
              <w:autoSpaceDN w:val="0"/>
              <w:spacing w:line="300" w:lineRule="auto"/>
              <w:jc w:val="center"/>
              <w:rPr>
                <w:rFonts w:ascii="仿宋_GB2312" w:eastAsia="仿宋_GB2312" w:hAnsiTheme="minorEastAsia"/>
                <w:sz w:val="24"/>
                <w:szCs w:val="24"/>
              </w:rPr>
            </w:pPr>
          </w:p>
        </w:tc>
      </w:tr>
      <w:tr w:rsidR="00B63462">
        <w:tc>
          <w:tcPr>
            <w:tcW w:w="1101" w:type="dxa"/>
            <w:tcBorders>
              <w:top w:val="single" w:sz="4" w:space="0" w:color="auto"/>
              <w:left w:val="single" w:sz="4" w:space="0" w:color="auto"/>
              <w:bottom w:val="single" w:sz="4" w:space="0" w:color="auto"/>
              <w:right w:val="single" w:sz="4" w:space="0" w:color="auto"/>
            </w:tcBorders>
          </w:tcPr>
          <w:p w:rsidR="00B63462" w:rsidRDefault="00243DE7">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B63462" w:rsidRDefault="00B63462">
            <w:pPr>
              <w:kinsoku w:val="0"/>
              <w:overflowPunct w:val="0"/>
              <w:autoSpaceDE w:val="0"/>
              <w:autoSpaceDN w:val="0"/>
              <w:spacing w:line="300" w:lineRule="auto"/>
              <w:jc w:val="center"/>
              <w:rPr>
                <w:rFonts w:ascii="仿宋_GB2312" w:eastAsia="仿宋_GB2312" w:hAnsiTheme="minorEastAsia"/>
                <w:sz w:val="24"/>
                <w:szCs w:val="24"/>
              </w:rPr>
            </w:pPr>
          </w:p>
        </w:tc>
        <w:tc>
          <w:tcPr>
            <w:tcW w:w="857" w:type="dxa"/>
            <w:tcBorders>
              <w:top w:val="single" w:sz="4" w:space="0" w:color="auto"/>
              <w:left w:val="single" w:sz="4" w:space="0" w:color="auto"/>
              <w:bottom w:val="single" w:sz="4" w:space="0" w:color="auto"/>
              <w:right w:val="single" w:sz="4" w:space="0" w:color="auto"/>
            </w:tcBorders>
          </w:tcPr>
          <w:p w:rsidR="00B63462" w:rsidRDefault="00B63462">
            <w:pPr>
              <w:kinsoku w:val="0"/>
              <w:overflowPunct w:val="0"/>
              <w:autoSpaceDE w:val="0"/>
              <w:autoSpaceDN w:val="0"/>
              <w:spacing w:line="300" w:lineRule="auto"/>
              <w:jc w:val="cente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B63462" w:rsidRDefault="00B63462">
            <w:pPr>
              <w:kinsoku w:val="0"/>
              <w:overflowPunct w:val="0"/>
              <w:autoSpaceDE w:val="0"/>
              <w:autoSpaceDN w:val="0"/>
              <w:spacing w:line="300" w:lineRule="auto"/>
              <w:jc w:val="center"/>
              <w:rPr>
                <w:rFonts w:ascii="仿宋_GB2312" w:eastAsia="仿宋_GB2312"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B63462" w:rsidRDefault="00B63462">
            <w:pPr>
              <w:kinsoku w:val="0"/>
              <w:overflowPunct w:val="0"/>
              <w:autoSpaceDE w:val="0"/>
              <w:autoSpaceDN w:val="0"/>
              <w:spacing w:line="300" w:lineRule="auto"/>
              <w:jc w:val="center"/>
              <w:rPr>
                <w:rFonts w:ascii="仿宋_GB2312" w:eastAsia="仿宋_GB2312" w:hAnsiTheme="minorEastAsia"/>
                <w:sz w:val="24"/>
                <w:szCs w:val="24"/>
              </w:rPr>
            </w:pPr>
          </w:p>
        </w:tc>
        <w:tc>
          <w:tcPr>
            <w:tcW w:w="3118" w:type="dxa"/>
            <w:tcBorders>
              <w:top w:val="single" w:sz="4" w:space="0" w:color="auto"/>
              <w:left w:val="single" w:sz="4" w:space="0" w:color="auto"/>
              <w:bottom w:val="single" w:sz="4" w:space="0" w:color="auto"/>
              <w:right w:val="single" w:sz="4" w:space="0" w:color="auto"/>
            </w:tcBorders>
          </w:tcPr>
          <w:p w:rsidR="00B63462" w:rsidRDefault="00B63462">
            <w:pPr>
              <w:kinsoku w:val="0"/>
              <w:overflowPunct w:val="0"/>
              <w:autoSpaceDE w:val="0"/>
              <w:autoSpaceDN w:val="0"/>
              <w:spacing w:line="300" w:lineRule="auto"/>
              <w:jc w:val="center"/>
              <w:rPr>
                <w:rFonts w:ascii="仿宋_GB2312" w:eastAsia="仿宋_GB2312" w:hAnsiTheme="minorEastAsia"/>
                <w:sz w:val="24"/>
                <w:szCs w:val="24"/>
              </w:rPr>
            </w:pPr>
          </w:p>
        </w:tc>
      </w:tr>
    </w:tbl>
    <w:p w:rsidR="00B63462" w:rsidRDefault="00B63462">
      <w:pPr>
        <w:snapToGrid w:val="0"/>
        <w:spacing w:line="360" w:lineRule="auto"/>
        <w:rPr>
          <w:rFonts w:ascii="仿宋_GB2312" w:eastAsia="仿宋_GB2312"/>
          <w:b/>
          <w:sz w:val="24"/>
          <w:szCs w:val="24"/>
          <w:highlight w:val="yellow"/>
        </w:rPr>
      </w:pPr>
    </w:p>
    <w:p w:rsidR="00B63462" w:rsidRDefault="00243DE7">
      <w:pPr>
        <w:snapToGrid w:val="0"/>
        <w:spacing w:line="360" w:lineRule="auto"/>
        <w:rPr>
          <w:rFonts w:ascii="仿宋_GB2312" w:eastAsia="仿宋_GB2312"/>
          <w:b/>
          <w:sz w:val="24"/>
          <w:szCs w:val="24"/>
        </w:rPr>
      </w:pPr>
      <w:r>
        <w:rPr>
          <w:rFonts w:ascii="仿宋_GB2312" w:eastAsia="仿宋_GB2312" w:hint="eastAsia"/>
          <w:b/>
          <w:sz w:val="24"/>
          <w:szCs w:val="24"/>
        </w:rPr>
        <w:t>6</w:t>
      </w:r>
      <w:r>
        <w:rPr>
          <w:rFonts w:ascii="仿宋_GB2312" w:eastAsia="仿宋_GB2312"/>
          <w:b/>
          <w:sz w:val="24"/>
          <w:szCs w:val="24"/>
        </w:rPr>
        <w:t> </w:t>
      </w:r>
      <w:r>
        <w:rPr>
          <w:rFonts w:ascii="仿宋_GB2312" w:eastAsia="仿宋_GB2312" w:hint="eastAsia"/>
          <w:b/>
          <w:sz w:val="24"/>
          <w:szCs w:val="24"/>
        </w:rPr>
        <w:t>.</w:t>
      </w:r>
      <w:r>
        <w:rPr>
          <w:rFonts w:ascii="仿宋_GB2312" w:eastAsia="仿宋_GB2312" w:hint="eastAsia"/>
          <w:b/>
          <w:sz w:val="24"/>
          <w:szCs w:val="24"/>
        </w:rPr>
        <w:t>影响投资者决策的其他重要信息</w:t>
      </w:r>
    </w:p>
    <w:p w:rsidR="00B63462" w:rsidRDefault="00243DE7">
      <w:pPr>
        <w:rPr>
          <w:rFonts w:ascii="仿宋_GB2312" w:eastAsia="仿宋_GB2312"/>
          <w:sz w:val="24"/>
          <w:szCs w:val="24"/>
        </w:rPr>
      </w:pPr>
      <w:r>
        <w:rPr>
          <w:rFonts w:ascii="仿宋_GB2312" w:eastAsia="仿宋_GB2312" w:hint="eastAsia"/>
          <w:sz w:val="24"/>
          <w:szCs w:val="24"/>
        </w:rPr>
        <w:t>无。</w:t>
      </w:r>
    </w:p>
    <w:p w:rsidR="00B63462" w:rsidRDefault="00243DE7">
      <w:pPr>
        <w:snapToGrid w:val="0"/>
        <w:spacing w:line="360" w:lineRule="auto"/>
        <w:rPr>
          <w:rFonts w:ascii="仿宋_GB2312" w:eastAsia="仿宋_GB2312"/>
          <w:b/>
          <w:sz w:val="24"/>
          <w:szCs w:val="24"/>
        </w:rPr>
      </w:pPr>
      <w:r>
        <w:rPr>
          <w:rFonts w:ascii="仿宋_GB2312" w:eastAsia="仿宋_GB2312" w:hint="eastAsia"/>
          <w:b/>
          <w:sz w:val="24"/>
          <w:szCs w:val="24"/>
        </w:rPr>
        <w:t>7.</w:t>
      </w:r>
      <w:r>
        <w:rPr>
          <w:rFonts w:ascii="仿宋_GB2312" w:eastAsia="仿宋_GB2312" w:hint="eastAsia"/>
          <w:b/>
          <w:sz w:val="24"/>
          <w:szCs w:val="24"/>
        </w:rPr>
        <w:t>托管机构报告</w:t>
      </w:r>
    </w:p>
    <w:p w:rsidR="00B63462" w:rsidRDefault="00243DE7">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106</w:t>
      </w:r>
      <w:r>
        <w:rPr>
          <w:rFonts w:ascii="仿宋_GB2312" w:eastAsia="仿宋_GB2312" w:hint="eastAsia"/>
          <w:color w:val="000000"/>
          <w:sz w:val="24"/>
          <w:szCs w:val="24"/>
        </w:rPr>
        <w:t>号）、《商业银行理财业务监督管理办法》（银保监会令〔</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6</w:t>
      </w:r>
      <w:r>
        <w:rPr>
          <w:rFonts w:ascii="仿宋_GB2312" w:eastAsia="仿宋_GB2312" w:hint="eastAsia"/>
          <w:color w:val="000000"/>
          <w:sz w:val="24"/>
          <w:szCs w:val="24"/>
        </w:rPr>
        <w:t>号）及其他有关法律法规、产品合同、托管协议的规定，不存在损害产品份额持有人利益的行为，完全尽职尽责地履行了托管人应尽的义务。</w:t>
      </w:r>
    </w:p>
    <w:p w:rsidR="00B63462" w:rsidRDefault="00243DE7">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106</w:t>
      </w:r>
      <w:r>
        <w:rPr>
          <w:rFonts w:ascii="仿宋_GB2312" w:eastAsia="仿宋_GB2312" w:hint="eastAsia"/>
          <w:color w:val="000000"/>
          <w:sz w:val="24"/>
          <w:szCs w:val="24"/>
        </w:rPr>
        <w:t>号）、《商业银行理财业务监督管理办法》（银保监会令〔</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6</w:t>
      </w:r>
      <w:r>
        <w:rPr>
          <w:rFonts w:ascii="仿宋_GB2312" w:eastAsia="仿宋_GB2312" w:hint="eastAsia"/>
          <w:color w:val="000000"/>
          <w:sz w:val="24"/>
          <w:szCs w:val="24"/>
        </w:rPr>
        <w:t>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B63462" w:rsidRDefault="00243DE7">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B63462" w:rsidRDefault="00B63462">
      <w:pPr>
        <w:rPr>
          <w:rFonts w:ascii="仿宋_GB2312" w:eastAsia="仿宋_GB2312"/>
          <w:sz w:val="24"/>
          <w:szCs w:val="24"/>
        </w:rPr>
      </w:pPr>
    </w:p>
    <w:p w:rsidR="00B63462" w:rsidRDefault="00243DE7">
      <w:pPr>
        <w:snapToGrid w:val="0"/>
        <w:spacing w:line="360" w:lineRule="auto"/>
        <w:rPr>
          <w:rFonts w:ascii="仿宋_GB2312" w:eastAsia="仿宋_GB2312"/>
          <w:b/>
          <w:sz w:val="24"/>
          <w:szCs w:val="24"/>
        </w:rPr>
      </w:pPr>
      <w:r>
        <w:rPr>
          <w:rFonts w:ascii="仿宋_GB2312" w:eastAsia="仿宋_GB2312" w:hint="eastAsia"/>
          <w:b/>
          <w:sz w:val="24"/>
          <w:szCs w:val="24"/>
        </w:rPr>
        <w:t>8.</w:t>
      </w:r>
      <w:r>
        <w:rPr>
          <w:rFonts w:ascii="仿宋_GB2312" w:eastAsia="仿宋_GB2312" w:hint="eastAsia"/>
          <w:b/>
          <w:sz w:val="24"/>
          <w:szCs w:val="24"/>
        </w:rPr>
        <w:t>备查文件</w:t>
      </w:r>
    </w:p>
    <w:p w:rsidR="00B63462" w:rsidRDefault="00243DE7">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8.1 </w:t>
      </w:r>
      <w:r>
        <w:rPr>
          <w:rFonts w:ascii="仿宋_GB2312" w:eastAsia="仿宋_GB2312" w:hint="eastAsia"/>
          <w:b/>
          <w:bCs/>
          <w:color w:val="000000"/>
          <w:sz w:val="24"/>
          <w:szCs w:val="24"/>
        </w:rPr>
        <w:t>备查文件目录</w:t>
      </w:r>
    </w:p>
    <w:p w:rsidR="00B63462" w:rsidRDefault="00243DE7">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w:t>
      </w:r>
      <w:r>
        <w:rPr>
          <w:rFonts w:ascii="仿宋_GB2312" w:eastAsia="仿宋_GB2312" w:hint="eastAsia"/>
          <w:color w:val="000000"/>
          <w:sz w:val="24"/>
          <w:szCs w:val="24"/>
        </w:rPr>
        <w:t>品说明书</w:t>
      </w:r>
    </w:p>
    <w:p w:rsidR="00B63462" w:rsidRDefault="00243DE7">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B63462" w:rsidRDefault="00243DE7">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B63462" w:rsidRDefault="00243DE7">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B63462" w:rsidRDefault="00243DE7">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8.2 </w:t>
      </w:r>
      <w:r>
        <w:rPr>
          <w:rFonts w:ascii="仿宋_GB2312" w:eastAsia="仿宋_GB2312" w:hint="eastAsia"/>
          <w:b/>
          <w:bCs/>
          <w:color w:val="000000"/>
          <w:sz w:val="24"/>
          <w:szCs w:val="24"/>
        </w:rPr>
        <w:t>存放地点</w:t>
      </w:r>
    </w:p>
    <w:p w:rsidR="00B63462" w:rsidRDefault="00243DE7">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w:t>
      </w:r>
      <w:r>
        <w:rPr>
          <w:rFonts w:ascii="仿宋_GB2312" w:eastAsia="仿宋_GB2312" w:hint="eastAsia"/>
          <w:color w:val="000000"/>
          <w:sz w:val="24"/>
          <w:szCs w:val="24"/>
        </w:rPr>
        <w:t>689</w:t>
      </w:r>
      <w:r>
        <w:rPr>
          <w:rFonts w:ascii="仿宋_GB2312" w:eastAsia="仿宋_GB2312" w:hint="eastAsia"/>
          <w:color w:val="000000"/>
          <w:sz w:val="24"/>
          <w:szCs w:val="24"/>
        </w:rPr>
        <w:t>号东银大厦</w:t>
      </w:r>
    </w:p>
    <w:p w:rsidR="00B63462" w:rsidRDefault="00243DE7">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8.3 </w:t>
      </w:r>
      <w:r>
        <w:rPr>
          <w:rFonts w:ascii="仿宋_GB2312" w:eastAsia="仿宋_GB2312" w:hint="eastAsia"/>
          <w:b/>
          <w:bCs/>
          <w:color w:val="000000"/>
          <w:sz w:val="24"/>
          <w:szCs w:val="24"/>
        </w:rPr>
        <w:t>查阅方式</w:t>
      </w:r>
    </w:p>
    <w:p w:rsidR="00B63462" w:rsidRDefault="00243DE7">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8" w:history="1">
        <w:r>
          <w:rPr>
            <w:rStyle w:val="a7"/>
            <w:rFonts w:ascii="仿宋_GB2312" w:eastAsia="仿宋_GB2312" w:hint="eastAsia"/>
            <w:sz w:val="24"/>
            <w:szCs w:val="24"/>
          </w:rPr>
          <w:t>http://www.spdb.com.cn/</w:t>
        </w:r>
      </w:hyperlink>
    </w:p>
    <w:sectPr w:rsidR="00B634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DE7" w:rsidRDefault="00243DE7">
      <w:r>
        <w:separator/>
      </w:r>
    </w:p>
  </w:endnote>
  <w:endnote w:type="continuationSeparator" w:id="0">
    <w:p w:rsidR="00243DE7" w:rsidRDefault="0024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DE7" w:rsidRDefault="00243DE7">
      <w:r>
        <w:separator/>
      </w:r>
    </w:p>
  </w:footnote>
  <w:footnote w:type="continuationSeparator" w:id="0">
    <w:p w:rsidR="00243DE7" w:rsidRDefault="00243DE7">
      <w:r>
        <w:continuationSeparator/>
      </w:r>
    </w:p>
  </w:footnote>
  <w:footnote w:id="1">
    <w:p w:rsidR="00B63462" w:rsidRDefault="00243DE7">
      <w:pPr>
        <w:pStyle w:val="a5"/>
      </w:pPr>
      <w:r>
        <w:rPr>
          <w:rStyle w:val="a8"/>
        </w:rPr>
        <w:footnoteRef/>
      </w:r>
      <w:r>
        <w:rPr>
          <w:rFonts w:hint="eastAsia"/>
          <w:sz w:val="15"/>
          <w:szCs w:val="15"/>
        </w:rPr>
        <w:t>产品登记编码指本产品在全国银行理财信息登记系统获取的登记编码。</w:t>
      </w:r>
    </w:p>
  </w:footnote>
  <w:footnote w:id="2">
    <w:p w:rsidR="00B63462" w:rsidRDefault="00243DE7">
      <w:pPr>
        <w:pStyle w:val="a5"/>
        <w:rPr>
          <w:sz w:val="15"/>
          <w:szCs w:val="15"/>
        </w:rPr>
      </w:pPr>
      <w:r>
        <w:rPr>
          <w:rStyle w:val="a8"/>
        </w:rPr>
        <w:footnoteRef/>
      </w:r>
      <w:r>
        <w:rPr>
          <w:rFonts w:hint="eastAsia"/>
        </w:rPr>
        <w:t xml:space="preserve"> </w:t>
      </w:r>
      <w:r>
        <w:rPr>
          <w:rFonts w:hint="eastAsia"/>
          <w:sz w:val="15"/>
          <w:szCs w:val="15"/>
        </w:rPr>
        <w:t>本报告所称非标准化债权资产，指根据《关于规范金融机构资产管理业务的指导意见》（</w:t>
      </w:r>
      <w:r>
        <w:rPr>
          <w:rFonts w:hint="eastAsia"/>
          <w:sz w:val="15"/>
          <w:szCs w:val="15"/>
        </w:rPr>
        <w:t>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814DB"/>
    <w:rsid w:val="00211495"/>
    <w:rsid w:val="00213ECF"/>
    <w:rsid w:val="00243DE7"/>
    <w:rsid w:val="00274D37"/>
    <w:rsid w:val="00367DBF"/>
    <w:rsid w:val="00380BE2"/>
    <w:rsid w:val="003F480F"/>
    <w:rsid w:val="00400A77"/>
    <w:rsid w:val="0041011E"/>
    <w:rsid w:val="0041666B"/>
    <w:rsid w:val="0042245C"/>
    <w:rsid w:val="00442040"/>
    <w:rsid w:val="0048092C"/>
    <w:rsid w:val="004E272F"/>
    <w:rsid w:val="00564E1C"/>
    <w:rsid w:val="0058623B"/>
    <w:rsid w:val="005B0E63"/>
    <w:rsid w:val="006304A5"/>
    <w:rsid w:val="006E00B8"/>
    <w:rsid w:val="007167B6"/>
    <w:rsid w:val="00781652"/>
    <w:rsid w:val="007D042E"/>
    <w:rsid w:val="007E2254"/>
    <w:rsid w:val="008D4921"/>
    <w:rsid w:val="009027FB"/>
    <w:rsid w:val="0093653B"/>
    <w:rsid w:val="00973891"/>
    <w:rsid w:val="009B6B6E"/>
    <w:rsid w:val="009F0B98"/>
    <w:rsid w:val="00A7331C"/>
    <w:rsid w:val="00A768E1"/>
    <w:rsid w:val="00B2798E"/>
    <w:rsid w:val="00B63462"/>
    <w:rsid w:val="00B9403A"/>
    <w:rsid w:val="00BB17CD"/>
    <w:rsid w:val="00C2222B"/>
    <w:rsid w:val="00CA6A9F"/>
    <w:rsid w:val="00D170C5"/>
    <w:rsid w:val="00D37F3B"/>
    <w:rsid w:val="00D601E1"/>
    <w:rsid w:val="00DC25F6"/>
    <w:rsid w:val="00DE1F30"/>
    <w:rsid w:val="00DE496A"/>
    <w:rsid w:val="00E61C1A"/>
    <w:rsid w:val="00E63347"/>
    <w:rsid w:val="00F25388"/>
    <w:rsid w:val="00F864D2"/>
    <w:rsid w:val="00FB1262"/>
    <w:rsid w:val="00FB4D10"/>
    <w:rsid w:val="00FC64B6"/>
    <w:rsid w:val="029555A0"/>
    <w:rsid w:val="23AD1091"/>
    <w:rsid w:val="25876CED"/>
    <w:rsid w:val="5B4B6FCA"/>
    <w:rsid w:val="6CDD379A"/>
    <w:rsid w:val="72B72902"/>
    <w:rsid w:val="7CEC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semiHidden="0" w:qFormat="1"/>
    <w:lsdException w:name="footer" w:semiHidden="0" w:qFormat="1"/>
    <w:lsdException w:name="caption" w:uiPriority="35" w:qFormat="1"/>
    <w:lsdException w:name="footnote reference" w:unhideWhenUsed="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方正仿宋简体"/>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footnote text"/>
    <w:basedOn w:val="a"/>
    <w:link w:val="Char1"/>
    <w:uiPriority w:val="99"/>
    <w:semiHidden/>
    <w:qFormat/>
    <w:pPr>
      <w:snapToGrid w:val="0"/>
      <w:jc w:val="left"/>
    </w:pPr>
    <w:rPr>
      <w:rFonts w:eastAsia="宋体"/>
      <w:sz w:val="18"/>
      <w:szCs w:val="18"/>
    </w:rPr>
  </w:style>
  <w:style w:type="paragraph" w:styleId="a6">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character" w:styleId="a7">
    <w:name w:val="Hyperlink"/>
    <w:basedOn w:val="a0"/>
    <w:uiPriority w:val="99"/>
    <w:semiHidden/>
    <w:unhideWhenUsed/>
    <w:qFormat/>
    <w:rPr>
      <w:color w:val="0000FF"/>
      <w:u w:val="single"/>
    </w:rPr>
  </w:style>
  <w:style w:type="character" w:styleId="a8">
    <w:name w:val="footnote reference"/>
    <w:uiPriority w:val="99"/>
    <w:semiHidden/>
    <w:qFormat/>
    <w:rPr>
      <w:vertAlign w:val="superscript"/>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Char1">
    <w:name w:val="脚注文本 Char"/>
    <w:basedOn w:val="a0"/>
    <w:link w:val="a5"/>
    <w:uiPriority w:val="99"/>
    <w:semiHidden/>
    <w:qFormat/>
    <w:rPr>
      <w:rFonts w:ascii="Times New Roman" w:eastAsia="宋体" w:hAnsi="Times New Roman" w:cs="Times New Roman"/>
      <w:sz w:val="18"/>
      <w:szCs w:val="18"/>
    </w:rPr>
  </w:style>
  <w:style w:type="paragraph" w:customStyle="1" w:styleId="xl33">
    <w:name w:val="xl3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semiHidden="0" w:qFormat="1"/>
    <w:lsdException w:name="footer" w:semiHidden="0" w:qFormat="1"/>
    <w:lsdException w:name="caption" w:uiPriority="35" w:qFormat="1"/>
    <w:lsdException w:name="footnote reference" w:unhideWhenUsed="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方正仿宋简体"/>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footnote text"/>
    <w:basedOn w:val="a"/>
    <w:link w:val="Char1"/>
    <w:uiPriority w:val="99"/>
    <w:semiHidden/>
    <w:qFormat/>
    <w:pPr>
      <w:snapToGrid w:val="0"/>
      <w:jc w:val="left"/>
    </w:pPr>
    <w:rPr>
      <w:rFonts w:eastAsia="宋体"/>
      <w:sz w:val="18"/>
      <w:szCs w:val="18"/>
    </w:rPr>
  </w:style>
  <w:style w:type="paragraph" w:styleId="a6">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character" w:styleId="a7">
    <w:name w:val="Hyperlink"/>
    <w:basedOn w:val="a0"/>
    <w:uiPriority w:val="99"/>
    <w:semiHidden/>
    <w:unhideWhenUsed/>
    <w:qFormat/>
    <w:rPr>
      <w:color w:val="0000FF"/>
      <w:u w:val="single"/>
    </w:rPr>
  </w:style>
  <w:style w:type="character" w:styleId="a8">
    <w:name w:val="footnote reference"/>
    <w:uiPriority w:val="99"/>
    <w:semiHidden/>
    <w:qFormat/>
    <w:rPr>
      <w:vertAlign w:val="superscript"/>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Char1">
    <w:name w:val="脚注文本 Char"/>
    <w:basedOn w:val="a0"/>
    <w:link w:val="a5"/>
    <w:uiPriority w:val="99"/>
    <w:semiHidden/>
    <w:qFormat/>
    <w:rPr>
      <w:rFonts w:ascii="Times New Roman" w:eastAsia="宋体" w:hAnsi="Times New Roman" w:cs="Times New Roman"/>
      <w:sz w:val="18"/>
      <w:szCs w:val="18"/>
    </w:rPr>
  </w:style>
  <w:style w:type="paragraph" w:customStyle="1" w:styleId="xl33">
    <w:name w:val="xl3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pdb.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汪小敏</cp:lastModifiedBy>
  <cp:revision>48</cp:revision>
  <dcterms:created xsi:type="dcterms:W3CDTF">2019-08-06T07:15:00Z</dcterms:created>
  <dcterms:modified xsi:type="dcterms:W3CDTF">2020-10-19T08:07:00Z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