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10"/>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10"/>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浦发银行鑫盈利系列1年定开6号理财产品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2301202506(销售代码:2301202812/2301202813/2301202814/2301202815)</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9"/>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trPr>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1,012,876,000.00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115.27%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2301202812 : 3.35%-4.35%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2301202813 : 3.38%-4.38%</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2301202814 : 3.40%-4.40%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2301202815 : 3.40%-4.40%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6"/>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报告期（2020-07-01至2020-09-30）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6"/>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2301202812 : 189,282,587.12</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2301202813 : 116,345,692.20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2301202814 : 430,537.22</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2301202815 : 717,561,855.50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6"/>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2301202812 : 1.0105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2301202813 : 1.0106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2301202814 : 1.0107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2301202815 : 1.0107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6"/>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2301202812 : 1.0105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2301202813 : 1.0106</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2301202814 : 1.0107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2301202815 : 1.0107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6"/>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10"/>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6"/>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jc w:val="center"/>
              <w:rPr>
                <w:rFonts w:eastAsia="Times New Roman"/>
                <w:color w:val="000000"/>
                <w:sz w:val="24"/>
              </w:rPr>
            </w:pPr>
            <w:r>
              <w:rPr>
                <w:rFonts w:eastAsia="Times New Roman"/>
                <w:color w:val="000000"/>
                <w:sz w:val="24"/>
              </w:rPr>
              <w:t>9,485,554.57</w:t>
            </w:r>
          </w:p>
        </w:tc>
        <w:tc>
          <w:tcPr>
            <w:tcW w:w="2477" w:type="dxa"/>
            <w:vAlign w:val="center"/>
          </w:tcPr>
          <w:p>
            <w:pPr>
              <w:jc w:val="center"/>
              <w:rPr>
                <w:rFonts w:eastAsia="Times New Roman"/>
                <w:color w:val="000000"/>
                <w:sz w:val="24"/>
              </w:rPr>
            </w:pPr>
            <w:r>
              <w:rPr>
                <w:rFonts w:eastAsia="Times New Roman"/>
                <w:color w:val="000000"/>
                <w:sz w:val="24"/>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2</w:t>
            </w:r>
          </w:p>
        </w:tc>
        <w:tc>
          <w:tcPr>
            <w:tcW w:w="2620" w:type="dxa"/>
            <w:vAlign w:val="center"/>
          </w:tcPr>
          <w:p>
            <w:pPr>
              <w:jc w:val="center"/>
            </w:pPr>
            <w:r>
              <w:rPr>
                <w:rFonts w:eastAsia="Times New Roman"/>
                <w:color w:val="000000"/>
                <w:sz w:val="24"/>
              </w:rPr>
              <w:t>债券投资</w:t>
            </w:r>
          </w:p>
        </w:tc>
        <w:tc>
          <w:tcPr>
            <w:tcW w:w="2694" w:type="dxa"/>
            <w:vAlign w:val="bottom"/>
          </w:tcPr>
          <w:p>
            <w:pPr>
              <w:jc w:val="center"/>
              <w:rPr>
                <w:rFonts w:eastAsia="Times New Roman"/>
                <w:color w:val="000000"/>
                <w:sz w:val="24"/>
              </w:rPr>
            </w:pPr>
            <w:r>
              <w:rPr>
                <w:rFonts w:hint="eastAsia" w:eastAsia="Times New Roman"/>
                <w:color w:val="000000"/>
                <w:sz w:val="24"/>
              </w:rPr>
              <w:t>1,137,914,754.38</w:t>
            </w:r>
          </w:p>
        </w:tc>
        <w:tc>
          <w:tcPr>
            <w:tcW w:w="2477" w:type="dxa"/>
            <w:vAlign w:val="bottom"/>
          </w:tcPr>
          <w:p>
            <w:pPr>
              <w:jc w:val="center"/>
              <w:rPr>
                <w:rFonts w:eastAsia="Times New Roman"/>
                <w:color w:val="000000"/>
                <w:sz w:val="24"/>
              </w:rPr>
            </w:pPr>
            <w:r>
              <w:rPr>
                <w:rFonts w:hint="eastAsia" w:eastAsia="Times New Roman"/>
                <w:color w:val="000000"/>
                <w:sz w:val="24"/>
              </w:rPr>
              <w:t>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3</w:t>
            </w:r>
          </w:p>
        </w:tc>
        <w:tc>
          <w:tcPr>
            <w:tcW w:w="2620" w:type="dxa"/>
            <w:vAlign w:val="center"/>
          </w:tcPr>
          <w:p>
            <w:pPr>
              <w:jc w:val="center"/>
            </w:pPr>
            <w:r>
              <w:rPr>
                <w:rFonts w:eastAsia="Times New Roman"/>
                <w:color w:val="000000"/>
                <w:sz w:val="24"/>
              </w:rPr>
              <w:t>资产支持证券投资</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4</w:t>
            </w:r>
          </w:p>
        </w:tc>
        <w:tc>
          <w:tcPr>
            <w:tcW w:w="2620" w:type="dxa"/>
            <w:vAlign w:val="center"/>
          </w:tcPr>
          <w:p>
            <w:pPr>
              <w:jc w:val="center"/>
            </w:pPr>
            <w:r>
              <w:rPr>
                <w:rFonts w:eastAsia="Times New Roman"/>
                <w:color w:val="000000"/>
                <w:sz w:val="24"/>
              </w:rPr>
              <w:t>信托计划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5</w:t>
            </w:r>
          </w:p>
        </w:tc>
        <w:tc>
          <w:tcPr>
            <w:tcW w:w="2620" w:type="dxa"/>
            <w:vAlign w:val="center"/>
          </w:tcPr>
          <w:p>
            <w:pPr>
              <w:jc w:val="center"/>
            </w:pPr>
            <w:r>
              <w:rPr>
                <w:rFonts w:eastAsia="Times New Roman"/>
                <w:color w:val="000000"/>
                <w:sz w:val="24"/>
              </w:rPr>
              <w:t>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6</w:t>
            </w:r>
          </w:p>
        </w:tc>
        <w:tc>
          <w:tcPr>
            <w:tcW w:w="2620" w:type="dxa"/>
            <w:vAlign w:val="center"/>
          </w:tcPr>
          <w:p>
            <w:pPr>
              <w:jc w:val="center"/>
            </w:pPr>
            <w:r>
              <w:rPr>
                <w:rFonts w:eastAsia="Times New Roman"/>
                <w:color w:val="000000"/>
                <w:sz w:val="24"/>
              </w:rPr>
              <w:t>净值类资产管理计划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7</w:t>
            </w:r>
          </w:p>
        </w:tc>
        <w:tc>
          <w:tcPr>
            <w:tcW w:w="2620" w:type="dxa"/>
            <w:vAlign w:val="center"/>
          </w:tcPr>
          <w:p>
            <w:pPr>
              <w:jc w:val="center"/>
            </w:pPr>
            <w:r>
              <w:rPr>
                <w:rFonts w:eastAsia="Times New Roman"/>
                <w:color w:val="000000"/>
                <w:sz w:val="24"/>
              </w:rPr>
              <w:t>资金拆出</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8</w:t>
            </w:r>
          </w:p>
        </w:tc>
        <w:tc>
          <w:tcPr>
            <w:tcW w:w="2620" w:type="dxa"/>
            <w:vAlign w:val="center"/>
          </w:tcPr>
          <w:p>
            <w:pPr>
              <w:jc w:val="center"/>
            </w:pPr>
            <w:r>
              <w:rPr>
                <w:rFonts w:eastAsia="Times New Roman"/>
                <w:color w:val="000000"/>
                <w:sz w:val="24"/>
              </w:rPr>
              <w:t>结算备付金</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9</w:t>
            </w:r>
          </w:p>
        </w:tc>
        <w:tc>
          <w:tcPr>
            <w:tcW w:w="2620" w:type="dxa"/>
            <w:vAlign w:val="center"/>
          </w:tcPr>
          <w:p>
            <w:pPr>
              <w:jc w:val="center"/>
            </w:pPr>
            <w:r>
              <w:rPr>
                <w:rFonts w:eastAsia="Times New Roman"/>
                <w:color w:val="000000"/>
                <w:sz w:val="24"/>
              </w:rPr>
              <w:t>买入返售金融资产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10</w:t>
            </w:r>
          </w:p>
        </w:tc>
        <w:tc>
          <w:tcPr>
            <w:tcW w:w="2620" w:type="dxa"/>
            <w:vAlign w:val="center"/>
          </w:tcPr>
          <w:p>
            <w:pPr>
              <w:jc w:val="center"/>
            </w:pPr>
            <w:r>
              <w:rPr>
                <w:rFonts w:eastAsia="Times New Roman"/>
                <w:color w:val="000000"/>
                <w:sz w:val="24"/>
              </w:rPr>
              <w:t>其他资产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11</w:t>
            </w:r>
          </w:p>
        </w:tc>
        <w:tc>
          <w:tcPr>
            <w:tcW w:w="2620" w:type="dxa"/>
            <w:vAlign w:val="center"/>
          </w:tcPr>
          <w:p>
            <w:pPr>
              <w:jc w:val="center"/>
            </w:pPr>
            <w:r>
              <w:rPr>
                <w:rFonts w:eastAsia="Times New Roman"/>
                <w:color w:val="000000"/>
                <w:sz w:val="24"/>
              </w:rPr>
              <w:t>应收利息</w:t>
            </w:r>
          </w:p>
        </w:tc>
        <w:tc>
          <w:tcPr>
            <w:tcW w:w="2694" w:type="dxa"/>
            <w:vAlign w:val="center"/>
          </w:tcPr>
          <w:p>
            <w:pPr>
              <w:jc w:val="center"/>
            </w:pPr>
            <w:r>
              <w:rPr>
                <w:rFonts w:eastAsia="Times New Roman"/>
                <w:color w:val="000000"/>
                <w:sz w:val="24"/>
              </w:rPr>
              <w:t>32,556,211.49</w:t>
            </w:r>
          </w:p>
        </w:tc>
        <w:tc>
          <w:tcPr>
            <w:tcW w:w="2477" w:type="dxa"/>
            <w:vAlign w:val="center"/>
          </w:tcPr>
          <w:p>
            <w:pPr>
              <w:jc w:val="center"/>
            </w:pPr>
            <w:r>
              <w:rPr>
                <w:rFonts w:eastAsia="Times New Roman"/>
                <w:color w:val="000000"/>
                <w:sz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eastAsia="Times New Roman"/>
                <w:color w:val="000000"/>
                <w:sz w:val="24"/>
              </w:rPr>
              <w:t>合计</w:t>
            </w:r>
          </w:p>
        </w:tc>
        <w:tc>
          <w:tcPr>
            <w:tcW w:w="2694" w:type="dxa"/>
            <w:vAlign w:val="center"/>
          </w:tcPr>
          <w:p>
            <w:pPr>
              <w:jc w:val="center"/>
            </w:pPr>
            <w:r>
              <w:rPr>
                <w:rFonts w:eastAsia="Times New Roman"/>
                <w:color w:val="000000"/>
                <w:sz w:val="24"/>
              </w:rPr>
              <w:t>1,179,956,520.44</w:t>
            </w:r>
          </w:p>
        </w:tc>
        <w:tc>
          <w:tcPr>
            <w:tcW w:w="2477" w:type="dxa"/>
            <w:vAlign w:val="center"/>
          </w:tcPr>
          <w:p>
            <w:pPr>
              <w:jc w:val="center"/>
            </w:pPr>
            <w:r>
              <w:rPr>
                <w:rFonts w:eastAsia="Times New Roman"/>
                <w:color w:val="000000"/>
                <w:sz w:val="24"/>
              </w:rPr>
              <w:t>115.27%</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pacing w:line="360" w:lineRule="auto"/>
        <w:ind w:firstLine="424" w:firstLineChars="177"/>
        <w:rPr>
          <w:rFonts w:ascii="仿宋_GB2312" w:hAnsi="Calibri" w:eastAsia="仿宋_GB2312"/>
          <w:sz w:val="24"/>
          <w:szCs w:val="24"/>
        </w:rPr>
      </w:pPr>
      <w:r>
        <w:rPr>
          <w:rFonts w:hint="eastAsia" w:ascii="仿宋_GB2312" w:hAnsi="Calibri" w:eastAsia="仿宋_GB2312"/>
          <w:sz w:val="24"/>
          <w:szCs w:val="24"/>
        </w:rPr>
        <w:t>报告期内，债券收益率持续上行，十年期国债收益率上行32.52BPS，基本回到去年11月末水平。本产品底层资产多数采用摊余成本法估值，可适度规避利率上行对净值的影响，同时以高等级信用债券作底仓，叠加适度杠杆操作获取稳定收益。本产品严格控制组合久期与杠杆率，确保组合流动性风险可控。</w:t>
      </w: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10"/>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5"/>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20大同煤矿MTN005</w:t>
            </w:r>
          </w:p>
        </w:tc>
        <w:tc>
          <w:tcPr>
            <w:tcW w:w="2835" w:type="dxa"/>
            <w:vAlign w:val="bottom"/>
          </w:tcPr>
          <w:p>
            <w:pPr>
              <w:jc w:val="center"/>
              <w:rPr>
                <w:rFonts w:eastAsia="Times New Roman"/>
                <w:color w:val="000000"/>
                <w:sz w:val="24"/>
              </w:rPr>
            </w:pPr>
            <w:r>
              <w:rPr>
                <w:rFonts w:eastAsia="Times New Roman"/>
                <w:color w:val="000000"/>
                <w:sz w:val="24"/>
              </w:rPr>
              <w:t xml:space="preserve"> 98,590,000.00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9.63%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2</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17沈阳地铁MTN001</w:t>
            </w:r>
          </w:p>
        </w:tc>
        <w:tc>
          <w:tcPr>
            <w:tcW w:w="2835" w:type="dxa"/>
            <w:vAlign w:val="bottom"/>
          </w:tcPr>
          <w:p>
            <w:pPr>
              <w:jc w:val="center"/>
              <w:rPr>
                <w:rFonts w:eastAsia="Times New Roman"/>
                <w:color w:val="000000"/>
                <w:sz w:val="24"/>
              </w:rPr>
            </w:pPr>
            <w:r>
              <w:rPr>
                <w:rFonts w:eastAsia="Times New Roman"/>
                <w:color w:val="000000"/>
                <w:sz w:val="24"/>
              </w:rPr>
              <w:t xml:space="preserve"> 96,223,853.09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9.40%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3</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14豫铁投MTN001</w:t>
            </w:r>
          </w:p>
        </w:tc>
        <w:tc>
          <w:tcPr>
            <w:tcW w:w="2835" w:type="dxa"/>
            <w:vAlign w:val="bottom"/>
          </w:tcPr>
          <w:p>
            <w:pPr>
              <w:jc w:val="center"/>
              <w:rPr>
                <w:rFonts w:eastAsia="Times New Roman"/>
                <w:color w:val="000000"/>
                <w:sz w:val="24"/>
              </w:rPr>
            </w:pPr>
            <w:r>
              <w:rPr>
                <w:rFonts w:eastAsia="Times New Roman"/>
                <w:color w:val="000000"/>
                <w:sz w:val="24"/>
              </w:rPr>
              <w:t xml:space="preserve"> 94,115,836.49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9.19%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4</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17芜湖经开MTN001</w:t>
            </w:r>
          </w:p>
        </w:tc>
        <w:tc>
          <w:tcPr>
            <w:tcW w:w="2835" w:type="dxa"/>
            <w:vAlign w:val="bottom"/>
          </w:tcPr>
          <w:p>
            <w:pPr>
              <w:jc w:val="center"/>
              <w:rPr>
                <w:rFonts w:eastAsia="Times New Roman"/>
                <w:color w:val="000000"/>
                <w:sz w:val="24"/>
              </w:rPr>
            </w:pPr>
            <w:r>
              <w:rPr>
                <w:rFonts w:eastAsia="Times New Roman"/>
                <w:color w:val="000000"/>
                <w:sz w:val="24"/>
              </w:rPr>
              <w:t xml:space="preserve"> 94,081,611.77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9.19%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5</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18洛阳新投PPN001</w:t>
            </w:r>
          </w:p>
        </w:tc>
        <w:tc>
          <w:tcPr>
            <w:tcW w:w="2835" w:type="dxa"/>
            <w:vAlign w:val="bottom"/>
          </w:tcPr>
          <w:p>
            <w:pPr>
              <w:jc w:val="center"/>
              <w:rPr>
                <w:rFonts w:eastAsia="Times New Roman"/>
                <w:color w:val="000000"/>
                <w:sz w:val="24"/>
              </w:rPr>
            </w:pPr>
            <w:r>
              <w:rPr>
                <w:rFonts w:eastAsia="Times New Roman"/>
                <w:color w:val="000000"/>
                <w:sz w:val="24"/>
              </w:rPr>
              <w:t xml:space="preserve"> 91,999,584.51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8.99%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6</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18南通高新PPN005</w:t>
            </w:r>
          </w:p>
        </w:tc>
        <w:tc>
          <w:tcPr>
            <w:tcW w:w="2835" w:type="dxa"/>
            <w:vAlign w:val="bottom"/>
          </w:tcPr>
          <w:p>
            <w:pPr>
              <w:jc w:val="center"/>
              <w:rPr>
                <w:rFonts w:eastAsia="Times New Roman"/>
                <w:color w:val="000000"/>
                <w:sz w:val="24"/>
              </w:rPr>
            </w:pPr>
            <w:r>
              <w:rPr>
                <w:rFonts w:eastAsia="Times New Roman"/>
                <w:color w:val="000000"/>
                <w:sz w:val="24"/>
              </w:rPr>
              <w:t xml:space="preserve"> 91,144,579.32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8.90%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7</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20平安银行永续债01</w:t>
            </w:r>
          </w:p>
        </w:tc>
        <w:tc>
          <w:tcPr>
            <w:tcW w:w="2835" w:type="dxa"/>
            <w:vAlign w:val="bottom"/>
          </w:tcPr>
          <w:p>
            <w:pPr>
              <w:jc w:val="center"/>
              <w:rPr>
                <w:rFonts w:eastAsia="Times New Roman"/>
                <w:color w:val="000000"/>
                <w:sz w:val="24"/>
              </w:rPr>
            </w:pPr>
            <w:r>
              <w:rPr>
                <w:rFonts w:eastAsia="Times New Roman"/>
                <w:color w:val="000000"/>
                <w:sz w:val="24"/>
              </w:rPr>
              <w:t xml:space="preserve"> 80,023,440.00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7.82%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8</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17滨建投PPN001</w:t>
            </w:r>
          </w:p>
        </w:tc>
        <w:tc>
          <w:tcPr>
            <w:tcW w:w="2835" w:type="dxa"/>
            <w:vAlign w:val="bottom"/>
          </w:tcPr>
          <w:p>
            <w:pPr>
              <w:jc w:val="center"/>
              <w:rPr>
                <w:rFonts w:eastAsia="Times New Roman"/>
                <w:color w:val="000000"/>
                <w:sz w:val="24"/>
              </w:rPr>
            </w:pPr>
            <w:r>
              <w:rPr>
                <w:rFonts w:eastAsia="Times New Roman"/>
                <w:color w:val="000000"/>
                <w:sz w:val="24"/>
              </w:rPr>
              <w:t xml:space="preserve"> 71,170,319.56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6.95%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9</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19平安银行永续债01</w:t>
            </w:r>
          </w:p>
        </w:tc>
        <w:tc>
          <w:tcPr>
            <w:tcW w:w="2835" w:type="dxa"/>
            <w:vAlign w:val="bottom"/>
          </w:tcPr>
          <w:p>
            <w:pPr>
              <w:jc w:val="center"/>
              <w:rPr>
                <w:rFonts w:eastAsia="Times New Roman"/>
                <w:color w:val="000000"/>
                <w:sz w:val="24"/>
              </w:rPr>
            </w:pPr>
            <w:r>
              <w:rPr>
                <w:rFonts w:eastAsia="Times New Roman"/>
                <w:color w:val="000000"/>
                <w:sz w:val="24"/>
              </w:rPr>
              <w:t xml:space="preserve"> 50,561,600.00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4.94%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10</w:t>
            </w:r>
          </w:p>
        </w:tc>
        <w:tc>
          <w:tcPr>
            <w:tcW w:w="2268"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20进出06</w:t>
            </w:r>
          </w:p>
        </w:tc>
        <w:tc>
          <w:tcPr>
            <w:tcW w:w="2835" w:type="dxa"/>
            <w:vAlign w:val="bottom"/>
          </w:tcPr>
          <w:p>
            <w:pPr>
              <w:jc w:val="center"/>
              <w:rPr>
                <w:rFonts w:eastAsia="Times New Roman"/>
                <w:color w:val="000000"/>
                <w:sz w:val="24"/>
              </w:rPr>
            </w:pPr>
            <w:r>
              <w:rPr>
                <w:rFonts w:eastAsia="Times New Roman"/>
                <w:color w:val="000000"/>
                <w:sz w:val="24"/>
              </w:rPr>
              <w:t xml:space="preserve"> 50,006,302.70 </w:t>
            </w:r>
          </w:p>
        </w:tc>
        <w:tc>
          <w:tcPr>
            <w:tcW w:w="2835" w:type="dxa"/>
            <w:tcMar>
              <w:top w:w="15" w:type="dxa"/>
              <w:left w:w="15" w:type="dxa"/>
              <w:bottom w:w="0" w:type="dxa"/>
              <w:right w:w="15" w:type="dxa"/>
            </w:tcMar>
            <w:vAlign w:val="bottom"/>
          </w:tcPr>
          <w:p>
            <w:pPr>
              <w:jc w:val="center"/>
              <w:rPr>
                <w:rFonts w:eastAsia="Times New Roman"/>
                <w:color w:val="000000"/>
                <w:sz w:val="24"/>
              </w:rPr>
            </w:pPr>
            <w:r>
              <w:rPr>
                <w:rFonts w:eastAsia="Times New Roman"/>
                <w:color w:val="000000"/>
                <w:sz w:val="24"/>
              </w:rPr>
              <w:t>4.89%</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9"/>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10"/>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1</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2</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8"/>
          <w:rFonts w:hint="eastAsia" w:ascii="仿宋_GB2312" w:eastAsia="仿宋_GB2312"/>
          <w:sz w:val="24"/>
          <w:szCs w:val="24"/>
        </w:rPr>
        <w:t>http://www.spdb.com.cn/</w:t>
      </w:r>
      <w:r>
        <w:rPr>
          <w:rStyle w:val="8"/>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rPr>
          <w:rFonts w:hint="eastAsia"/>
          <w:sz w:val="15"/>
          <w:szCs w:val="15"/>
        </w:rPr>
        <w:t>产品登记编码指本产品在全国银行理财信息登记系统获取的登记编码。</w:t>
      </w:r>
    </w:p>
  </w:footnote>
  <w:footnote w:id="1">
    <w:p>
      <w:pPr>
        <w:pStyle w:val="5"/>
        <w:rPr>
          <w:sz w:val="15"/>
          <w:szCs w:val="15"/>
        </w:rPr>
      </w:pPr>
      <w:r>
        <w:rPr>
          <w:rStyle w:val="9"/>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4E53BF"/>
    <w:rsid w:val="00564E1C"/>
    <w:rsid w:val="0058623B"/>
    <w:rsid w:val="005B0E63"/>
    <w:rsid w:val="006304A5"/>
    <w:rsid w:val="006E00B8"/>
    <w:rsid w:val="007167B6"/>
    <w:rsid w:val="00781652"/>
    <w:rsid w:val="007D042E"/>
    <w:rsid w:val="007E2254"/>
    <w:rsid w:val="008D4921"/>
    <w:rsid w:val="009027FB"/>
    <w:rsid w:val="0093653B"/>
    <w:rsid w:val="00973891"/>
    <w:rsid w:val="009B6B6E"/>
    <w:rsid w:val="009F0B98"/>
    <w:rsid w:val="00A7331C"/>
    <w:rsid w:val="00A768E1"/>
    <w:rsid w:val="00B2798E"/>
    <w:rsid w:val="00B9403A"/>
    <w:rsid w:val="00BB17CD"/>
    <w:rsid w:val="00C2222B"/>
    <w:rsid w:val="00C53442"/>
    <w:rsid w:val="00CA6A9F"/>
    <w:rsid w:val="00D170C5"/>
    <w:rsid w:val="00D37F3B"/>
    <w:rsid w:val="00D601E1"/>
    <w:rsid w:val="00D75DC6"/>
    <w:rsid w:val="00DC25F6"/>
    <w:rsid w:val="00DE1F30"/>
    <w:rsid w:val="00DE496A"/>
    <w:rsid w:val="00E61C1A"/>
    <w:rsid w:val="00E63347"/>
    <w:rsid w:val="00F864D2"/>
    <w:rsid w:val="00FB1262"/>
    <w:rsid w:val="00FB4D10"/>
    <w:rsid w:val="00FC64B6"/>
    <w:rsid w:val="0AF55819"/>
    <w:rsid w:val="2C370BB0"/>
    <w:rsid w:val="30FE0397"/>
    <w:rsid w:val="44672C2F"/>
    <w:rsid w:val="474575E6"/>
    <w:rsid w:val="50556BBA"/>
    <w:rsid w:val="60A7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4"/>
    <w:semiHidden/>
    <w:qFormat/>
    <w:uiPriority w:val="99"/>
    <w:pPr>
      <w:snapToGrid w:val="0"/>
      <w:jc w:val="left"/>
    </w:pPr>
    <w:rPr>
      <w:rFonts w:eastAsia="宋体"/>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Hyperlink"/>
    <w:basedOn w:val="7"/>
    <w:semiHidden/>
    <w:unhideWhenUsed/>
    <w:qFormat/>
    <w:uiPriority w:val="99"/>
    <w:rPr>
      <w:color w:val="0000FF"/>
      <w:u w:val="single"/>
    </w:rPr>
  </w:style>
  <w:style w:type="character" w:styleId="9">
    <w:name w:val="footnote reference"/>
    <w:semiHidden/>
    <w:qFormat/>
    <w:uiPriority w:val="99"/>
    <w:rPr>
      <w:vertAlign w:val="superscript"/>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脚注文本 Char"/>
    <w:basedOn w:val="7"/>
    <w:link w:val="5"/>
    <w:semiHidden/>
    <w:qFormat/>
    <w:uiPriority w:val="99"/>
    <w:rPr>
      <w:rFonts w:ascii="Times New Roman" w:hAnsi="Times New Roman" w:eastAsia="宋体" w:cs="Times New Roman"/>
      <w:sz w:val="18"/>
      <w:szCs w:val="18"/>
    </w:rPr>
  </w:style>
  <w:style w:type="paragraph" w:customStyle="1" w:styleId="15">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411</Words>
  <Characters>2349</Characters>
  <Lines>19</Lines>
  <Paragraphs>5</Paragraphs>
  <TotalTime>9</TotalTime>
  <ScaleCrop>false</ScaleCrop>
  <LinksUpToDate>false</LinksUpToDate>
  <CharactersWithSpaces>2755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yuyh4</cp:lastModifiedBy>
  <dcterms:modified xsi:type="dcterms:W3CDTF">2020-10-23T06:40:52Z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