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90" w:rsidRDefault="008F7B95">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D92190" w:rsidRDefault="008F7B95">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D92190">
        <w:trPr>
          <w:trHeight w:val="2514"/>
        </w:trPr>
        <w:tc>
          <w:tcPr>
            <w:tcW w:w="9072" w:type="dxa"/>
            <w:tcMar>
              <w:top w:w="0" w:type="dxa"/>
              <w:left w:w="108" w:type="dxa"/>
              <w:bottom w:w="0" w:type="dxa"/>
              <w:right w:w="108" w:type="dxa"/>
            </w:tcMar>
          </w:tcPr>
          <w:p w:rsidR="00D92190" w:rsidRDefault="008F7B95">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D92190" w:rsidRDefault="008F7B95">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D92190" w:rsidRDefault="008F7B95">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D92190" w:rsidRDefault="008F7B95">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D92190" w:rsidRDefault="008F7B95">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D92190">
        <w:tc>
          <w:tcPr>
            <w:tcW w:w="4219" w:type="dxa"/>
            <w:tcMar>
              <w:top w:w="0" w:type="dxa"/>
              <w:left w:w="108" w:type="dxa"/>
              <w:bottom w:w="0" w:type="dxa"/>
              <w:right w:w="108" w:type="dxa"/>
            </w:tcMar>
            <w:vAlign w:val="center"/>
          </w:tcPr>
          <w:p w:rsidR="00D92190" w:rsidRDefault="008F7B95">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D92190" w:rsidRDefault="008F7B95">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12</w:t>
            </w:r>
            <w:r>
              <w:rPr>
                <w:rFonts w:ascii="仿宋_GB2312" w:eastAsia="仿宋_GB2312" w:hAnsi="Calibri" w:cs="宋体"/>
                <w:color w:val="000000"/>
                <w:sz w:val="24"/>
                <w:szCs w:val="24"/>
              </w:rPr>
              <w:t>号理财产品</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2301192534</w:t>
            </w:r>
          </w:p>
        </w:tc>
      </w:tr>
      <w:tr w:rsidR="00D92190">
        <w:tblPrEx>
          <w:tblBorders>
            <w:top w:val="none" w:sz="0"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8"/>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C1031019000549</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2020-02-26</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871,710,000.00</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100.15%</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2301192534 : 3.50%-4.50%</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D92190">
        <w:tblPrEx>
          <w:tblBorders>
            <w:bottom w:val="single" w:sz="4" w:space="0" w:color="auto"/>
          </w:tblBorders>
        </w:tblPrEx>
        <w:tc>
          <w:tcPr>
            <w:tcW w:w="4219" w:type="dxa"/>
            <w:tcMar>
              <w:top w:w="0" w:type="dxa"/>
              <w:left w:w="108" w:type="dxa"/>
              <w:bottom w:w="0" w:type="dxa"/>
              <w:right w:w="108" w:type="dxa"/>
            </w:tcMar>
            <w:vAlign w:val="center"/>
          </w:tcPr>
          <w:p w:rsidR="00D92190" w:rsidRDefault="008F7B95">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D92190" w:rsidRDefault="008F7B95">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D92190" w:rsidRDefault="00D92190">
      <w:pPr>
        <w:rPr>
          <w:rFonts w:ascii="仿宋_GB2312" w:eastAsia="仿宋_GB2312" w:hAnsi="Calibri"/>
          <w:sz w:val="24"/>
          <w:szCs w:val="24"/>
        </w:rPr>
      </w:pPr>
    </w:p>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D92190" w:rsidRDefault="008F7B95">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D92190" w:rsidRDefault="008F7B95">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9"/>
        <w:tblW w:w="9072" w:type="dxa"/>
        <w:tblLayout w:type="fixed"/>
        <w:tblLook w:val="04A0" w:firstRow="1" w:lastRow="0" w:firstColumn="1" w:lastColumn="0" w:noHBand="0" w:noVBand="1"/>
      </w:tblPr>
      <w:tblGrid>
        <w:gridCol w:w="4361"/>
        <w:gridCol w:w="4711"/>
      </w:tblGrid>
      <w:tr w:rsidR="00D92190">
        <w:tc>
          <w:tcPr>
            <w:tcW w:w="4361" w:type="dxa"/>
          </w:tcPr>
          <w:p w:rsidR="00D92190" w:rsidRDefault="008F7B95">
            <w:pPr>
              <w:pStyle w:val="a6"/>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lastRenderedPageBreak/>
              <w:t>产品净值表现</w:t>
            </w:r>
          </w:p>
        </w:tc>
        <w:tc>
          <w:tcPr>
            <w:tcW w:w="4711" w:type="dxa"/>
          </w:tcPr>
          <w:p w:rsidR="00D92190" w:rsidRDefault="008F7B95">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2020-07-01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2020-09-30</w:t>
            </w:r>
            <w:r>
              <w:rPr>
                <w:rFonts w:ascii="仿宋_GB2312" w:eastAsia="仿宋_GB2312" w:hint="eastAsia"/>
                <w:color w:val="000000"/>
                <w:kern w:val="0"/>
                <w:sz w:val="24"/>
                <w:szCs w:val="24"/>
              </w:rPr>
              <w:t>）</w:t>
            </w:r>
          </w:p>
        </w:tc>
      </w:tr>
      <w:tr w:rsidR="00D92190">
        <w:tc>
          <w:tcPr>
            <w:tcW w:w="4361" w:type="dxa"/>
          </w:tcPr>
          <w:p w:rsidR="00D92190" w:rsidRDefault="008F7B95">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D92190" w:rsidRDefault="008F7B95">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2301192534 : 890,813,681.12</w:t>
            </w:r>
          </w:p>
        </w:tc>
      </w:tr>
      <w:tr w:rsidR="00D92190">
        <w:trPr>
          <w:trHeight w:val="158"/>
        </w:trPr>
        <w:tc>
          <w:tcPr>
            <w:tcW w:w="4361" w:type="dxa"/>
          </w:tcPr>
          <w:p w:rsidR="00D92190" w:rsidRDefault="008F7B95">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D92190" w:rsidRDefault="008F7B95">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2301192534 : 1.0219</w:t>
            </w:r>
          </w:p>
        </w:tc>
      </w:tr>
      <w:tr w:rsidR="00D92190">
        <w:trPr>
          <w:trHeight w:val="158"/>
        </w:trPr>
        <w:tc>
          <w:tcPr>
            <w:tcW w:w="4361" w:type="dxa"/>
          </w:tcPr>
          <w:p w:rsidR="00D92190" w:rsidRDefault="008F7B95">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D92190" w:rsidRDefault="008F7B95">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2301192534 : 1.0219</w:t>
            </w:r>
          </w:p>
        </w:tc>
      </w:tr>
      <w:tr w:rsidR="00D92190">
        <w:trPr>
          <w:trHeight w:val="158"/>
        </w:trPr>
        <w:tc>
          <w:tcPr>
            <w:tcW w:w="4361" w:type="dxa"/>
          </w:tcPr>
          <w:p w:rsidR="00D92190" w:rsidRDefault="008F7B95">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D92190" w:rsidRDefault="008F7B95">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D92190">
        <w:trPr>
          <w:trHeight w:val="158"/>
        </w:trPr>
        <w:tc>
          <w:tcPr>
            <w:tcW w:w="4361" w:type="dxa"/>
            <w:tcMar>
              <w:top w:w="0" w:type="dxa"/>
              <w:left w:w="108" w:type="dxa"/>
              <w:bottom w:w="0" w:type="dxa"/>
              <w:right w:w="108" w:type="dxa"/>
            </w:tcMar>
          </w:tcPr>
          <w:p w:rsidR="00D92190" w:rsidRDefault="008F7B95">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D92190" w:rsidRDefault="008F7B95">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D92190" w:rsidRDefault="008F7B95">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D92190" w:rsidRDefault="00D92190">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D92190">
        <w:trPr>
          <w:trHeight w:val="415"/>
        </w:trPr>
        <w:tc>
          <w:tcPr>
            <w:tcW w:w="1281"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D92190">
        <w:trPr>
          <w:trHeight w:val="20"/>
        </w:trPr>
        <w:tc>
          <w:tcPr>
            <w:tcW w:w="1281"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D92190" w:rsidRDefault="008F7B95">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D92190" w:rsidRDefault="008F7B95">
            <w:pPr>
              <w:jc w:val="center"/>
              <w:rPr>
                <w:rFonts w:eastAsia="Times New Roman"/>
                <w:color w:val="000000"/>
                <w:sz w:val="24"/>
              </w:rPr>
            </w:pPr>
            <w:r>
              <w:rPr>
                <w:rFonts w:eastAsia="Times New Roman"/>
                <w:color w:val="000000"/>
                <w:sz w:val="24"/>
              </w:rPr>
              <w:t>1,431,565.66</w:t>
            </w:r>
          </w:p>
        </w:tc>
        <w:tc>
          <w:tcPr>
            <w:tcW w:w="2477" w:type="dxa"/>
            <w:vAlign w:val="center"/>
          </w:tcPr>
          <w:p w:rsidR="00D92190" w:rsidRDefault="008F7B95">
            <w:pPr>
              <w:jc w:val="center"/>
              <w:rPr>
                <w:rFonts w:eastAsia="Times New Roman"/>
                <w:color w:val="000000"/>
                <w:sz w:val="24"/>
              </w:rPr>
            </w:pPr>
            <w:r>
              <w:rPr>
                <w:rFonts w:eastAsia="Times New Roman"/>
                <w:color w:val="000000"/>
                <w:sz w:val="24"/>
              </w:rPr>
              <w:t>0.16%</w:t>
            </w:r>
          </w:p>
        </w:tc>
      </w:tr>
      <w:tr w:rsidR="00D92190">
        <w:tc>
          <w:tcPr>
            <w:tcW w:w="1281" w:type="dxa"/>
            <w:vAlign w:val="center"/>
          </w:tcPr>
          <w:p w:rsidR="00D92190" w:rsidRDefault="008F7B95">
            <w:pPr>
              <w:jc w:val="center"/>
            </w:pPr>
            <w:r>
              <w:rPr>
                <w:rFonts w:eastAsia="Times New Roman"/>
                <w:color w:val="000000"/>
                <w:sz w:val="24"/>
              </w:rPr>
              <w:t>2</w:t>
            </w:r>
          </w:p>
        </w:tc>
        <w:tc>
          <w:tcPr>
            <w:tcW w:w="2620" w:type="dxa"/>
            <w:vAlign w:val="center"/>
          </w:tcPr>
          <w:p w:rsidR="00D92190" w:rsidRDefault="008F7B95">
            <w:pPr>
              <w:jc w:val="center"/>
            </w:pPr>
            <w:proofErr w:type="spellStart"/>
            <w:r>
              <w:rPr>
                <w:rFonts w:eastAsia="Times New Roman"/>
                <w:color w:val="000000"/>
                <w:sz w:val="24"/>
              </w:rPr>
              <w:t>债券投资</w:t>
            </w:r>
            <w:proofErr w:type="spellEnd"/>
          </w:p>
        </w:tc>
        <w:tc>
          <w:tcPr>
            <w:tcW w:w="2694" w:type="dxa"/>
            <w:vAlign w:val="bottom"/>
          </w:tcPr>
          <w:p w:rsidR="00D92190" w:rsidRDefault="008F7B95">
            <w:pPr>
              <w:jc w:val="center"/>
              <w:rPr>
                <w:rFonts w:eastAsia="Times New Roman"/>
                <w:color w:val="000000"/>
                <w:sz w:val="24"/>
              </w:rPr>
            </w:pPr>
            <w:r>
              <w:rPr>
                <w:rFonts w:eastAsia="Times New Roman" w:hint="eastAsia"/>
                <w:color w:val="000000"/>
                <w:sz w:val="24"/>
              </w:rPr>
              <w:t>768,739,280.63</w:t>
            </w:r>
          </w:p>
        </w:tc>
        <w:tc>
          <w:tcPr>
            <w:tcW w:w="2477" w:type="dxa"/>
            <w:vAlign w:val="center"/>
          </w:tcPr>
          <w:p w:rsidR="00D92190" w:rsidRDefault="008F7B95">
            <w:pPr>
              <w:jc w:val="center"/>
              <w:rPr>
                <w:rFonts w:eastAsia="Times New Roman"/>
                <w:color w:val="000000"/>
                <w:sz w:val="24"/>
              </w:rPr>
            </w:pPr>
            <w:r>
              <w:rPr>
                <w:rFonts w:eastAsia="Times New Roman"/>
                <w:color w:val="000000"/>
                <w:sz w:val="24"/>
              </w:rPr>
              <w:t>8</w:t>
            </w:r>
            <w:r>
              <w:rPr>
                <w:rFonts w:eastAsia="Times New Roman" w:hint="eastAsia"/>
                <w:color w:val="000000"/>
                <w:sz w:val="24"/>
              </w:rPr>
              <w:t>6.30</w:t>
            </w: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3</w:t>
            </w:r>
          </w:p>
        </w:tc>
        <w:tc>
          <w:tcPr>
            <w:tcW w:w="2620" w:type="dxa"/>
            <w:vAlign w:val="center"/>
          </w:tcPr>
          <w:p w:rsidR="00D92190" w:rsidRDefault="008F7B95">
            <w:pPr>
              <w:jc w:val="center"/>
            </w:pPr>
            <w:proofErr w:type="spellStart"/>
            <w:r>
              <w:rPr>
                <w:rFonts w:eastAsia="Times New Roman"/>
                <w:color w:val="000000"/>
                <w:sz w:val="24"/>
              </w:rPr>
              <w:t>资产支持证券投资</w:t>
            </w:r>
            <w:proofErr w:type="spellEnd"/>
          </w:p>
        </w:tc>
        <w:tc>
          <w:tcPr>
            <w:tcW w:w="2694" w:type="dxa"/>
            <w:vAlign w:val="bottom"/>
          </w:tcPr>
          <w:p w:rsidR="00D92190" w:rsidRDefault="008F7B95">
            <w:pPr>
              <w:jc w:val="center"/>
              <w:rPr>
                <w:rFonts w:eastAsia="Times New Roman"/>
                <w:color w:val="000000"/>
                <w:sz w:val="24"/>
              </w:rPr>
            </w:pPr>
            <w:r>
              <w:rPr>
                <w:rFonts w:eastAsia="Times New Roman" w:hint="eastAsia"/>
                <w:color w:val="000000"/>
                <w:sz w:val="24"/>
              </w:rPr>
              <w:t>101,865,874.08</w:t>
            </w:r>
          </w:p>
        </w:tc>
        <w:tc>
          <w:tcPr>
            <w:tcW w:w="2477" w:type="dxa"/>
            <w:vAlign w:val="center"/>
          </w:tcPr>
          <w:p w:rsidR="00D92190" w:rsidRDefault="008F7B95">
            <w:pPr>
              <w:jc w:val="center"/>
              <w:rPr>
                <w:rFonts w:eastAsia="Times New Roman"/>
                <w:color w:val="000000"/>
                <w:sz w:val="24"/>
              </w:rPr>
            </w:pPr>
            <w:r>
              <w:rPr>
                <w:rFonts w:eastAsia="Times New Roman"/>
                <w:color w:val="000000"/>
                <w:sz w:val="24"/>
              </w:rPr>
              <w:t>11.4</w:t>
            </w:r>
            <w:r>
              <w:rPr>
                <w:rFonts w:eastAsia="Times New Roman" w:hint="eastAsia"/>
                <w:color w:val="000000"/>
                <w:sz w:val="24"/>
              </w:rPr>
              <w:t>4</w:t>
            </w: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4</w:t>
            </w:r>
          </w:p>
        </w:tc>
        <w:tc>
          <w:tcPr>
            <w:tcW w:w="2620" w:type="dxa"/>
            <w:vAlign w:val="center"/>
          </w:tcPr>
          <w:p w:rsidR="00D92190" w:rsidRDefault="008F7B95">
            <w:pPr>
              <w:jc w:val="center"/>
            </w:pPr>
            <w:proofErr w:type="spellStart"/>
            <w:r>
              <w:rPr>
                <w:rFonts w:eastAsia="Times New Roman"/>
                <w:color w:val="000000"/>
                <w:sz w:val="24"/>
              </w:rPr>
              <w:t>信托计划</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5</w:t>
            </w:r>
          </w:p>
        </w:tc>
        <w:tc>
          <w:tcPr>
            <w:tcW w:w="2620" w:type="dxa"/>
            <w:vAlign w:val="center"/>
          </w:tcPr>
          <w:p w:rsidR="00D92190" w:rsidRDefault="008F7B95">
            <w:pPr>
              <w:jc w:val="center"/>
            </w:pPr>
            <w:proofErr w:type="spellStart"/>
            <w:r>
              <w:rPr>
                <w:rFonts w:eastAsia="Times New Roman"/>
                <w:color w:val="000000"/>
                <w:sz w:val="24"/>
              </w:rPr>
              <w:t>资产管理计划</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6</w:t>
            </w:r>
          </w:p>
        </w:tc>
        <w:tc>
          <w:tcPr>
            <w:tcW w:w="2620" w:type="dxa"/>
            <w:vAlign w:val="center"/>
          </w:tcPr>
          <w:p w:rsidR="00D92190" w:rsidRDefault="008F7B95">
            <w:pPr>
              <w:jc w:val="center"/>
            </w:pPr>
            <w:proofErr w:type="spellStart"/>
            <w:r>
              <w:rPr>
                <w:rFonts w:eastAsia="Times New Roman"/>
                <w:color w:val="000000"/>
                <w:sz w:val="24"/>
              </w:rPr>
              <w:t>净值类资产管理计划</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7</w:t>
            </w:r>
          </w:p>
        </w:tc>
        <w:tc>
          <w:tcPr>
            <w:tcW w:w="2620" w:type="dxa"/>
            <w:vAlign w:val="center"/>
          </w:tcPr>
          <w:p w:rsidR="00D92190" w:rsidRDefault="008F7B95">
            <w:pPr>
              <w:jc w:val="center"/>
            </w:pPr>
            <w:proofErr w:type="spellStart"/>
            <w:r>
              <w:rPr>
                <w:rFonts w:eastAsia="Times New Roman"/>
                <w:color w:val="000000"/>
                <w:sz w:val="24"/>
              </w:rPr>
              <w:t>资金拆出</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8</w:t>
            </w:r>
          </w:p>
        </w:tc>
        <w:tc>
          <w:tcPr>
            <w:tcW w:w="2620" w:type="dxa"/>
            <w:vAlign w:val="center"/>
          </w:tcPr>
          <w:p w:rsidR="00D92190" w:rsidRDefault="008F7B95">
            <w:pPr>
              <w:jc w:val="center"/>
            </w:pPr>
            <w:proofErr w:type="spellStart"/>
            <w:r>
              <w:rPr>
                <w:rFonts w:eastAsia="Times New Roman"/>
                <w:color w:val="000000"/>
                <w:sz w:val="24"/>
              </w:rPr>
              <w:t>结算备付金</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9</w:t>
            </w:r>
          </w:p>
        </w:tc>
        <w:tc>
          <w:tcPr>
            <w:tcW w:w="2620" w:type="dxa"/>
            <w:vAlign w:val="center"/>
          </w:tcPr>
          <w:p w:rsidR="00D92190" w:rsidRDefault="008F7B95">
            <w:pPr>
              <w:jc w:val="center"/>
            </w:pPr>
            <w:proofErr w:type="spellStart"/>
            <w:r>
              <w:rPr>
                <w:rFonts w:eastAsia="Times New Roman"/>
                <w:color w:val="000000"/>
                <w:sz w:val="24"/>
              </w:rPr>
              <w:t>买入返售金融资产</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10</w:t>
            </w:r>
          </w:p>
        </w:tc>
        <w:tc>
          <w:tcPr>
            <w:tcW w:w="2620" w:type="dxa"/>
            <w:vAlign w:val="center"/>
          </w:tcPr>
          <w:p w:rsidR="00D92190" w:rsidRDefault="008F7B95">
            <w:pPr>
              <w:jc w:val="center"/>
            </w:pPr>
            <w:proofErr w:type="spellStart"/>
            <w:r>
              <w:rPr>
                <w:rFonts w:eastAsia="Times New Roman"/>
                <w:color w:val="000000"/>
                <w:sz w:val="24"/>
              </w:rPr>
              <w:t>其他资产</w:t>
            </w:r>
            <w:proofErr w:type="spellEnd"/>
          </w:p>
        </w:tc>
        <w:tc>
          <w:tcPr>
            <w:tcW w:w="2694" w:type="dxa"/>
            <w:vAlign w:val="center"/>
          </w:tcPr>
          <w:p w:rsidR="00D92190" w:rsidRDefault="008F7B95">
            <w:pPr>
              <w:jc w:val="center"/>
            </w:pPr>
            <w:r>
              <w:rPr>
                <w:rFonts w:eastAsia="Times New Roman"/>
                <w:color w:val="000000"/>
                <w:sz w:val="24"/>
              </w:rPr>
              <w:t>-</w:t>
            </w:r>
          </w:p>
        </w:tc>
        <w:tc>
          <w:tcPr>
            <w:tcW w:w="2477" w:type="dxa"/>
            <w:vAlign w:val="center"/>
          </w:tcPr>
          <w:p w:rsidR="00D92190" w:rsidRDefault="008F7B95">
            <w:pPr>
              <w:jc w:val="center"/>
            </w:pPr>
            <w:r>
              <w:rPr>
                <w:rFonts w:eastAsia="Times New Roman"/>
                <w:color w:val="000000"/>
                <w:sz w:val="24"/>
              </w:rPr>
              <w:t>-</w:t>
            </w:r>
          </w:p>
        </w:tc>
      </w:tr>
      <w:tr w:rsidR="00D92190">
        <w:tc>
          <w:tcPr>
            <w:tcW w:w="1281" w:type="dxa"/>
            <w:vAlign w:val="center"/>
          </w:tcPr>
          <w:p w:rsidR="00D92190" w:rsidRDefault="008F7B95">
            <w:pPr>
              <w:jc w:val="center"/>
            </w:pPr>
            <w:r>
              <w:rPr>
                <w:rFonts w:eastAsia="Times New Roman"/>
                <w:color w:val="000000"/>
                <w:sz w:val="24"/>
              </w:rPr>
              <w:t>11</w:t>
            </w:r>
          </w:p>
        </w:tc>
        <w:tc>
          <w:tcPr>
            <w:tcW w:w="2620" w:type="dxa"/>
            <w:vAlign w:val="center"/>
          </w:tcPr>
          <w:p w:rsidR="00D92190" w:rsidRDefault="008F7B95">
            <w:pPr>
              <w:jc w:val="center"/>
            </w:pPr>
            <w:proofErr w:type="spellStart"/>
            <w:r>
              <w:rPr>
                <w:rFonts w:eastAsia="Times New Roman"/>
                <w:color w:val="000000"/>
                <w:sz w:val="24"/>
              </w:rPr>
              <w:t>应收利息</w:t>
            </w:r>
            <w:proofErr w:type="spellEnd"/>
          </w:p>
        </w:tc>
        <w:tc>
          <w:tcPr>
            <w:tcW w:w="2694" w:type="dxa"/>
            <w:vAlign w:val="center"/>
          </w:tcPr>
          <w:p w:rsidR="00D92190" w:rsidRDefault="008F7B95">
            <w:pPr>
              <w:jc w:val="center"/>
            </w:pPr>
            <w:r>
              <w:rPr>
                <w:rFonts w:eastAsia="Times New Roman"/>
                <w:color w:val="000000"/>
                <w:sz w:val="24"/>
              </w:rPr>
              <w:t>20,106,006.49</w:t>
            </w:r>
          </w:p>
        </w:tc>
        <w:tc>
          <w:tcPr>
            <w:tcW w:w="2477" w:type="dxa"/>
            <w:vAlign w:val="center"/>
          </w:tcPr>
          <w:p w:rsidR="00D92190" w:rsidRDefault="008F7B95">
            <w:pPr>
              <w:jc w:val="center"/>
            </w:pPr>
            <w:r>
              <w:rPr>
                <w:rFonts w:eastAsia="Times New Roman"/>
                <w:color w:val="000000"/>
                <w:sz w:val="24"/>
              </w:rPr>
              <w:t>2.26%</w:t>
            </w:r>
          </w:p>
        </w:tc>
      </w:tr>
      <w:tr w:rsidR="00D92190">
        <w:tc>
          <w:tcPr>
            <w:tcW w:w="1281" w:type="dxa"/>
            <w:vAlign w:val="center"/>
          </w:tcPr>
          <w:p w:rsidR="00D92190" w:rsidRDefault="00D92190">
            <w:pPr>
              <w:jc w:val="center"/>
            </w:pPr>
          </w:p>
        </w:tc>
        <w:tc>
          <w:tcPr>
            <w:tcW w:w="2620" w:type="dxa"/>
            <w:vAlign w:val="center"/>
          </w:tcPr>
          <w:p w:rsidR="00D92190" w:rsidRDefault="008F7B95">
            <w:pPr>
              <w:jc w:val="center"/>
            </w:pPr>
            <w:proofErr w:type="spellStart"/>
            <w:r>
              <w:rPr>
                <w:rFonts w:eastAsia="Times New Roman"/>
                <w:color w:val="000000"/>
                <w:sz w:val="24"/>
              </w:rPr>
              <w:t>合计</w:t>
            </w:r>
            <w:proofErr w:type="spellEnd"/>
          </w:p>
        </w:tc>
        <w:tc>
          <w:tcPr>
            <w:tcW w:w="2694" w:type="dxa"/>
            <w:vAlign w:val="center"/>
          </w:tcPr>
          <w:p w:rsidR="00D92190" w:rsidRDefault="008F7B95">
            <w:pPr>
              <w:jc w:val="center"/>
            </w:pPr>
            <w:r>
              <w:rPr>
                <w:rFonts w:eastAsia="Times New Roman"/>
                <w:color w:val="000000"/>
                <w:sz w:val="24"/>
              </w:rPr>
              <w:t>892,142,726.86</w:t>
            </w:r>
          </w:p>
        </w:tc>
        <w:tc>
          <w:tcPr>
            <w:tcW w:w="2477" w:type="dxa"/>
            <w:vAlign w:val="center"/>
          </w:tcPr>
          <w:p w:rsidR="00D92190" w:rsidRDefault="008F7B95">
            <w:pPr>
              <w:jc w:val="center"/>
            </w:pPr>
            <w:r>
              <w:rPr>
                <w:rFonts w:eastAsia="Times New Roman"/>
                <w:color w:val="000000"/>
                <w:sz w:val="24"/>
              </w:rPr>
              <w:t>100.15%</w:t>
            </w:r>
          </w:p>
        </w:tc>
      </w:tr>
    </w:tbl>
    <w:p w:rsidR="00D92190" w:rsidRDefault="008F7B95">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D92190" w:rsidRDefault="0009120A" w:rsidP="0009120A">
      <w:pPr>
        <w:spacing w:line="360" w:lineRule="auto"/>
        <w:ind w:firstLineChars="177" w:firstLine="425"/>
        <w:rPr>
          <w:rFonts w:ascii="仿宋_GB2312" w:eastAsia="仿宋_GB2312" w:hAnsi="Calibri"/>
          <w:sz w:val="24"/>
          <w:szCs w:val="24"/>
        </w:rPr>
      </w:pPr>
      <w:bookmarkStart w:id="0" w:name="_GoBack"/>
      <w:r w:rsidRPr="0009120A">
        <w:rPr>
          <w:rFonts w:ascii="仿宋_GB2312" w:eastAsia="仿宋_GB2312" w:hAnsi="Calibri" w:hint="eastAsia"/>
          <w:sz w:val="24"/>
          <w:szCs w:val="24"/>
        </w:rPr>
        <w:t>报告期内，债券收益率持续上行，十年期国债收益率上行32.52BPS，基本回到去年11月末水平。本产品底层资产多数采用摊</w:t>
      </w:r>
      <w:proofErr w:type="gramStart"/>
      <w:r w:rsidRPr="0009120A">
        <w:rPr>
          <w:rFonts w:ascii="仿宋_GB2312" w:eastAsia="仿宋_GB2312" w:hAnsi="Calibri" w:hint="eastAsia"/>
          <w:sz w:val="24"/>
          <w:szCs w:val="24"/>
        </w:rPr>
        <w:t>余成本</w:t>
      </w:r>
      <w:proofErr w:type="gramEnd"/>
      <w:r w:rsidRPr="0009120A">
        <w:rPr>
          <w:rFonts w:ascii="仿宋_GB2312" w:eastAsia="仿宋_GB2312" w:hAnsi="Calibri" w:hint="eastAsia"/>
          <w:sz w:val="24"/>
          <w:szCs w:val="24"/>
        </w:rPr>
        <w:t>法估值，</w:t>
      </w:r>
      <w:r>
        <w:rPr>
          <w:rFonts w:ascii="仿宋_GB2312" w:eastAsia="仿宋_GB2312" w:hAnsi="Calibri" w:hint="eastAsia"/>
          <w:sz w:val="24"/>
          <w:szCs w:val="24"/>
        </w:rPr>
        <w:t>可适度规避</w:t>
      </w:r>
      <w:r w:rsidRPr="0009120A">
        <w:rPr>
          <w:rFonts w:ascii="仿宋_GB2312" w:eastAsia="仿宋_GB2312" w:hAnsi="Calibri" w:hint="eastAsia"/>
          <w:sz w:val="24"/>
          <w:szCs w:val="24"/>
        </w:rPr>
        <w:t>利率上行对净值的影响，同时以高等级信用债券作底仓，叠加适度杠杆操作获取稳定收益。本产品严格控制</w:t>
      </w:r>
      <w:proofErr w:type="gramStart"/>
      <w:r w:rsidRPr="0009120A">
        <w:rPr>
          <w:rFonts w:ascii="仿宋_GB2312" w:eastAsia="仿宋_GB2312" w:hAnsi="Calibri" w:hint="eastAsia"/>
          <w:sz w:val="24"/>
          <w:szCs w:val="24"/>
        </w:rPr>
        <w:t>组合久期与</w:t>
      </w:r>
      <w:proofErr w:type="gramEnd"/>
      <w:r w:rsidRPr="0009120A">
        <w:rPr>
          <w:rFonts w:ascii="仿宋_GB2312" w:eastAsia="仿宋_GB2312" w:hAnsi="Calibri" w:hint="eastAsia"/>
          <w:sz w:val="24"/>
          <w:szCs w:val="24"/>
        </w:rPr>
        <w:t>杠杆率，确保组合流动性风险可控。</w:t>
      </w:r>
    </w:p>
    <w:bookmarkEnd w:id="0"/>
    <w:p w:rsidR="00D92190" w:rsidRDefault="008F7B95">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92190">
        <w:trPr>
          <w:trHeight w:val="296"/>
        </w:trPr>
        <w:tc>
          <w:tcPr>
            <w:tcW w:w="1139" w:type="dxa"/>
            <w:vAlign w:val="center"/>
          </w:tcPr>
          <w:p w:rsidR="00D92190" w:rsidRDefault="008F7B95">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92190" w:rsidRDefault="008F7B95">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92190" w:rsidRDefault="008F7B95">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92190" w:rsidRDefault="008F7B95">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92190">
        <w:trPr>
          <w:trHeight w:val="296"/>
        </w:trPr>
        <w:tc>
          <w:tcPr>
            <w:tcW w:w="1139" w:type="dxa"/>
          </w:tcPr>
          <w:p w:rsidR="00D92190" w:rsidRDefault="008F7B95">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20滨江房产CP002</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79,896,000.00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8.97%</w:t>
            </w:r>
          </w:p>
        </w:tc>
      </w:tr>
      <w:tr w:rsidR="00D92190">
        <w:tc>
          <w:tcPr>
            <w:tcW w:w="1139" w:type="dxa"/>
          </w:tcPr>
          <w:p w:rsidR="00D92190" w:rsidRDefault="008F7B95">
            <w:pPr>
              <w:jc w:val="center"/>
            </w:pPr>
            <w:r>
              <w:rPr>
                <w:rFonts w:eastAsia="Times New Roman"/>
                <w:color w:val="000000"/>
                <w:sz w:val="24"/>
              </w:rPr>
              <w:t>2</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20善庆ABN001优先</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73,903,800.00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8.30%</w:t>
            </w:r>
          </w:p>
        </w:tc>
      </w:tr>
      <w:tr w:rsidR="00D92190">
        <w:tc>
          <w:tcPr>
            <w:tcW w:w="1139" w:type="dxa"/>
          </w:tcPr>
          <w:p w:rsidR="00D92190" w:rsidRDefault="008F7B95">
            <w:pPr>
              <w:jc w:val="center"/>
            </w:pPr>
            <w:r>
              <w:rPr>
                <w:rFonts w:eastAsia="Times New Roman"/>
                <w:color w:val="000000"/>
                <w:sz w:val="24"/>
              </w:rPr>
              <w:t>3</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20融和融资PPN001</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59,808,841.32</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6.72%</w:t>
            </w:r>
          </w:p>
        </w:tc>
      </w:tr>
      <w:tr w:rsidR="00D92190">
        <w:tc>
          <w:tcPr>
            <w:tcW w:w="1139" w:type="dxa"/>
          </w:tcPr>
          <w:p w:rsidR="00D92190" w:rsidRDefault="008F7B95">
            <w:pPr>
              <w:jc w:val="center"/>
            </w:pPr>
            <w:r>
              <w:rPr>
                <w:rFonts w:eastAsia="Times New Roman"/>
                <w:color w:val="000000"/>
                <w:sz w:val="24"/>
              </w:rPr>
              <w:t>4</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20西青经开CP002</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49,995,000.00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5.61%</w:t>
            </w:r>
          </w:p>
        </w:tc>
      </w:tr>
      <w:tr w:rsidR="00D92190">
        <w:tc>
          <w:tcPr>
            <w:tcW w:w="1139" w:type="dxa"/>
          </w:tcPr>
          <w:p w:rsidR="00D92190" w:rsidRDefault="008F7B95">
            <w:pPr>
              <w:jc w:val="center"/>
            </w:pPr>
            <w:r>
              <w:rPr>
                <w:rFonts w:eastAsia="Times New Roman"/>
                <w:color w:val="000000"/>
                <w:sz w:val="24"/>
              </w:rPr>
              <w:lastRenderedPageBreak/>
              <w:t>5</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20国开01</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49,970,000.00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5.61%</w:t>
            </w:r>
          </w:p>
        </w:tc>
      </w:tr>
      <w:tr w:rsidR="00D92190">
        <w:tc>
          <w:tcPr>
            <w:tcW w:w="1139" w:type="dxa"/>
          </w:tcPr>
          <w:p w:rsidR="00D92190" w:rsidRDefault="008F7B95">
            <w:pPr>
              <w:jc w:val="center"/>
            </w:pPr>
            <w:r>
              <w:rPr>
                <w:rFonts w:eastAsia="Times New Roman"/>
                <w:color w:val="000000"/>
                <w:sz w:val="24"/>
              </w:rPr>
              <w:t>6</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20下城国投PPN001</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49,942,086.56</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5.61%</w:t>
            </w:r>
          </w:p>
        </w:tc>
      </w:tr>
      <w:tr w:rsidR="00D92190">
        <w:tc>
          <w:tcPr>
            <w:tcW w:w="1139" w:type="dxa"/>
          </w:tcPr>
          <w:p w:rsidR="00D92190" w:rsidRDefault="008F7B95">
            <w:pPr>
              <w:jc w:val="center"/>
            </w:pPr>
            <w:r>
              <w:rPr>
                <w:rFonts w:eastAsia="Times New Roman"/>
                <w:color w:val="000000"/>
                <w:sz w:val="24"/>
              </w:rPr>
              <w:t>7</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20均瑶SCP003</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49,835,000.00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5.60%</w:t>
            </w:r>
          </w:p>
        </w:tc>
      </w:tr>
      <w:tr w:rsidR="00D92190">
        <w:tc>
          <w:tcPr>
            <w:tcW w:w="1139" w:type="dxa"/>
          </w:tcPr>
          <w:p w:rsidR="00D92190" w:rsidRDefault="008F7B95">
            <w:pPr>
              <w:jc w:val="center"/>
            </w:pPr>
            <w:r>
              <w:rPr>
                <w:rFonts w:eastAsia="Times New Roman"/>
                <w:color w:val="000000"/>
                <w:sz w:val="24"/>
              </w:rPr>
              <w:t>8</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18农十二师MTN001</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40,660,552.75</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4.57%</w:t>
            </w:r>
          </w:p>
        </w:tc>
      </w:tr>
      <w:tr w:rsidR="00D92190">
        <w:tc>
          <w:tcPr>
            <w:tcW w:w="1139" w:type="dxa"/>
          </w:tcPr>
          <w:p w:rsidR="00D92190" w:rsidRDefault="008F7B95">
            <w:pPr>
              <w:jc w:val="center"/>
            </w:pPr>
            <w:r>
              <w:rPr>
                <w:rFonts w:eastAsia="Times New Roman"/>
                <w:color w:val="000000"/>
                <w:sz w:val="24"/>
              </w:rPr>
              <w:t>9</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18新疆能源MTN002</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40,340,000.00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4.53%</w:t>
            </w:r>
          </w:p>
        </w:tc>
      </w:tr>
      <w:tr w:rsidR="00D92190">
        <w:tc>
          <w:tcPr>
            <w:tcW w:w="1139" w:type="dxa"/>
          </w:tcPr>
          <w:p w:rsidR="00D92190" w:rsidRDefault="008F7B95">
            <w:pPr>
              <w:jc w:val="center"/>
            </w:pPr>
            <w:r>
              <w:rPr>
                <w:rFonts w:eastAsia="Times New Roman"/>
                <w:color w:val="000000"/>
                <w:sz w:val="24"/>
              </w:rPr>
              <w:t>10</w:t>
            </w:r>
          </w:p>
        </w:tc>
        <w:tc>
          <w:tcPr>
            <w:tcW w:w="2268"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20碧水源(</w:t>
            </w:r>
            <w:proofErr w:type="spellStart"/>
            <w:r>
              <w:rPr>
                <w:rFonts w:eastAsia="Times New Roman"/>
                <w:color w:val="000000"/>
                <w:sz w:val="24"/>
              </w:rPr>
              <w:t>疫情防控债</w:t>
            </w:r>
            <w:proofErr w:type="spellEnd"/>
            <w:r>
              <w:rPr>
                <w:rFonts w:eastAsia="Times New Roman"/>
                <w:color w:val="000000"/>
                <w:sz w:val="24"/>
              </w:rPr>
              <w:t>)CP001</w:t>
            </w:r>
          </w:p>
        </w:tc>
        <w:tc>
          <w:tcPr>
            <w:tcW w:w="2835" w:type="dxa"/>
            <w:vAlign w:val="bottom"/>
          </w:tcPr>
          <w:p w:rsidR="00D92190" w:rsidRDefault="008F7B95">
            <w:pPr>
              <w:jc w:val="center"/>
              <w:rPr>
                <w:rFonts w:eastAsia="Times New Roman"/>
                <w:color w:val="000000"/>
                <w:sz w:val="24"/>
              </w:rPr>
            </w:pPr>
            <w:r>
              <w:rPr>
                <w:rFonts w:eastAsia="Times New Roman"/>
                <w:color w:val="000000"/>
                <w:sz w:val="24"/>
              </w:rPr>
              <w:t>40,248,000.00</w:t>
            </w:r>
          </w:p>
        </w:tc>
        <w:tc>
          <w:tcPr>
            <w:tcW w:w="2835" w:type="dxa"/>
            <w:tcMar>
              <w:top w:w="15" w:type="dxa"/>
              <w:left w:w="15" w:type="dxa"/>
              <w:bottom w:w="0" w:type="dxa"/>
              <w:right w:w="15" w:type="dxa"/>
            </w:tcMar>
            <w:vAlign w:val="bottom"/>
          </w:tcPr>
          <w:p w:rsidR="00D92190" w:rsidRDefault="008F7B95">
            <w:pPr>
              <w:jc w:val="center"/>
              <w:rPr>
                <w:rFonts w:eastAsia="Times New Roman"/>
                <w:color w:val="000000"/>
                <w:sz w:val="24"/>
              </w:rPr>
            </w:pPr>
            <w:r>
              <w:rPr>
                <w:rFonts w:eastAsia="Times New Roman"/>
                <w:color w:val="000000"/>
                <w:sz w:val="24"/>
              </w:rPr>
              <w:t>4.52%</w:t>
            </w:r>
          </w:p>
        </w:tc>
      </w:tr>
    </w:tbl>
    <w:p w:rsidR="00D92190" w:rsidRDefault="00D92190">
      <w:pPr>
        <w:rPr>
          <w:rFonts w:ascii="仿宋_GB2312" w:eastAsia="仿宋_GB2312" w:hAnsi="Calibri"/>
          <w:sz w:val="24"/>
          <w:szCs w:val="24"/>
        </w:rPr>
      </w:pPr>
    </w:p>
    <w:p w:rsidR="00D92190" w:rsidRDefault="008F7B95">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8"/>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92190">
        <w:tc>
          <w:tcPr>
            <w:tcW w:w="85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92190">
        <w:tc>
          <w:tcPr>
            <w:tcW w:w="85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92190" w:rsidRDefault="008F7B95">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92190" w:rsidRDefault="008F7B95">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D92190" w:rsidRDefault="008F7B95">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9"/>
        <w:tblW w:w="9180" w:type="dxa"/>
        <w:tblLayout w:type="fixed"/>
        <w:tblLook w:val="04A0" w:firstRow="1" w:lastRow="0" w:firstColumn="1" w:lastColumn="0" w:noHBand="0" w:noVBand="1"/>
      </w:tblPr>
      <w:tblGrid>
        <w:gridCol w:w="1101"/>
        <w:gridCol w:w="1694"/>
        <w:gridCol w:w="857"/>
        <w:gridCol w:w="1134"/>
        <w:gridCol w:w="1276"/>
        <w:gridCol w:w="3118"/>
      </w:tblGrid>
      <w:tr w:rsidR="00D92190">
        <w:tc>
          <w:tcPr>
            <w:tcW w:w="1101"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D92190">
        <w:tc>
          <w:tcPr>
            <w:tcW w:w="1101"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r>
      <w:tr w:rsidR="00D92190">
        <w:tc>
          <w:tcPr>
            <w:tcW w:w="1101"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r>
      <w:tr w:rsidR="00D92190">
        <w:tc>
          <w:tcPr>
            <w:tcW w:w="1101" w:type="dxa"/>
            <w:tcBorders>
              <w:top w:val="single" w:sz="4" w:space="0" w:color="auto"/>
              <w:left w:val="single" w:sz="4" w:space="0" w:color="auto"/>
              <w:bottom w:val="single" w:sz="4" w:space="0" w:color="auto"/>
              <w:right w:val="single" w:sz="4" w:space="0" w:color="auto"/>
            </w:tcBorders>
          </w:tcPr>
          <w:p w:rsidR="00D92190" w:rsidRDefault="008F7B95">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D92190" w:rsidRDefault="00D92190">
            <w:pPr>
              <w:kinsoku w:val="0"/>
              <w:overflowPunct w:val="0"/>
              <w:autoSpaceDE w:val="0"/>
              <w:autoSpaceDN w:val="0"/>
              <w:spacing w:line="300" w:lineRule="auto"/>
              <w:jc w:val="center"/>
              <w:rPr>
                <w:rFonts w:ascii="仿宋_GB2312" w:eastAsia="仿宋_GB2312" w:hAnsiTheme="minorEastAsia"/>
                <w:sz w:val="24"/>
                <w:szCs w:val="24"/>
              </w:rPr>
            </w:pPr>
          </w:p>
        </w:tc>
      </w:tr>
    </w:tbl>
    <w:p w:rsidR="00D92190" w:rsidRDefault="00D92190">
      <w:pPr>
        <w:snapToGrid w:val="0"/>
        <w:spacing w:line="360" w:lineRule="auto"/>
        <w:rPr>
          <w:rFonts w:ascii="仿宋_GB2312" w:eastAsia="仿宋_GB2312"/>
          <w:b/>
          <w:sz w:val="24"/>
          <w:szCs w:val="24"/>
          <w:highlight w:val="yellow"/>
        </w:rPr>
      </w:pPr>
    </w:p>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D92190" w:rsidRDefault="008F7B95">
      <w:pPr>
        <w:rPr>
          <w:rFonts w:ascii="仿宋_GB2312" w:eastAsia="仿宋_GB2312"/>
          <w:sz w:val="24"/>
          <w:szCs w:val="24"/>
        </w:rPr>
      </w:pPr>
      <w:r>
        <w:rPr>
          <w:rFonts w:ascii="仿宋_GB2312" w:eastAsia="仿宋_GB2312" w:hint="eastAsia"/>
          <w:sz w:val="24"/>
          <w:szCs w:val="24"/>
        </w:rPr>
        <w:t>无。</w:t>
      </w:r>
    </w:p>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D92190" w:rsidRDefault="008F7B95">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D92190" w:rsidRDefault="008F7B95">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w:t>
      </w:r>
      <w:r>
        <w:rPr>
          <w:rFonts w:ascii="仿宋_GB2312" w:eastAsia="仿宋_GB2312" w:hint="eastAsia"/>
          <w:color w:val="000000"/>
          <w:sz w:val="24"/>
          <w:szCs w:val="24"/>
        </w:rPr>
        <w:lastRenderedPageBreak/>
        <w:t>（银发〔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w:t>
      </w:r>
      <w:r>
        <w:rPr>
          <w:rFonts w:ascii="仿宋_GB2312" w:eastAsia="仿宋_GB2312" w:hint="eastAsia"/>
          <w:color w:val="000000"/>
          <w:sz w:val="24"/>
          <w:szCs w:val="24"/>
        </w:rPr>
        <w:t>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D92190" w:rsidRDefault="008F7B95">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D92190" w:rsidRDefault="00D92190">
      <w:pPr>
        <w:rPr>
          <w:rFonts w:ascii="仿宋_GB2312" w:eastAsia="仿宋_GB2312"/>
          <w:sz w:val="24"/>
          <w:szCs w:val="24"/>
        </w:rPr>
      </w:pPr>
    </w:p>
    <w:p w:rsidR="00D92190" w:rsidRDefault="008F7B95">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D92190" w:rsidRDefault="008F7B95">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D92190" w:rsidRDefault="008F7B95">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D92190" w:rsidRDefault="008F7B95">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D92190" w:rsidRDefault="008F7B95">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D92190" w:rsidRDefault="008F7B95">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D92190" w:rsidRDefault="008F7B95">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D92190" w:rsidRDefault="008F7B95">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D92190" w:rsidRDefault="008F7B95">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D92190" w:rsidRDefault="008F7B95">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7"/>
            <w:rFonts w:ascii="仿宋_GB2312" w:eastAsia="仿宋_GB2312" w:hint="eastAsia"/>
            <w:sz w:val="24"/>
            <w:szCs w:val="24"/>
          </w:rPr>
          <w:t>http://www.spdb.com.cn/</w:t>
        </w:r>
      </w:hyperlink>
    </w:p>
    <w:sectPr w:rsidR="00D9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95" w:rsidRDefault="008F7B95">
      <w:r>
        <w:separator/>
      </w:r>
    </w:p>
  </w:endnote>
  <w:endnote w:type="continuationSeparator" w:id="0">
    <w:p w:rsidR="008F7B95" w:rsidRDefault="008F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95" w:rsidRDefault="008F7B95">
      <w:r>
        <w:separator/>
      </w:r>
    </w:p>
  </w:footnote>
  <w:footnote w:type="continuationSeparator" w:id="0">
    <w:p w:rsidR="008F7B95" w:rsidRDefault="008F7B95">
      <w:r>
        <w:continuationSeparator/>
      </w:r>
    </w:p>
  </w:footnote>
  <w:footnote w:id="1">
    <w:p w:rsidR="00D92190" w:rsidRDefault="008F7B95">
      <w:pPr>
        <w:pStyle w:val="a5"/>
      </w:pPr>
      <w:r>
        <w:rPr>
          <w:rStyle w:val="a8"/>
        </w:rPr>
        <w:footnoteRef/>
      </w:r>
      <w:r>
        <w:rPr>
          <w:rFonts w:hint="eastAsia"/>
          <w:sz w:val="15"/>
          <w:szCs w:val="15"/>
        </w:rPr>
        <w:t>产品登记编码指本产品在全国银行理财信息登记系统获取的登记编码。</w:t>
      </w:r>
    </w:p>
  </w:footnote>
  <w:footnote w:id="2">
    <w:p w:rsidR="00D92190" w:rsidRDefault="008F7B95">
      <w:pPr>
        <w:pStyle w:val="a5"/>
        <w:rPr>
          <w:sz w:val="15"/>
          <w:szCs w:val="15"/>
        </w:rPr>
      </w:pPr>
      <w:r>
        <w:rPr>
          <w:rStyle w:val="a8"/>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09120A"/>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D4921"/>
    <w:rsid w:val="008F7B95"/>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92190"/>
    <w:rsid w:val="00DC25F6"/>
    <w:rsid w:val="00DE1F30"/>
    <w:rsid w:val="00DE496A"/>
    <w:rsid w:val="00E61C1A"/>
    <w:rsid w:val="00E63347"/>
    <w:rsid w:val="00F864D2"/>
    <w:rsid w:val="00FB1262"/>
    <w:rsid w:val="00FB4D10"/>
    <w:rsid w:val="00FC64B6"/>
    <w:rsid w:val="21117684"/>
    <w:rsid w:val="2A794F99"/>
    <w:rsid w:val="2D6E264D"/>
    <w:rsid w:val="30600616"/>
    <w:rsid w:val="379D3D19"/>
    <w:rsid w:val="3AA11520"/>
    <w:rsid w:val="3B0C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AC624-CB82-468E-8BC7-5EE2A288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花健瑞</cp:lastModifiedBy>
  <cp:revision>48</cp:revision>
  <dcterms:created xsi:type="dcterms:W3CDTF">2019-08-06T07:15:00Z</dcterms:created>
  <dcterms:modified xsi:type="dcterms:W3CDTF">2020-10-12T11:39:00Z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