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2021-06-28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定向工具(PPN)-直接投资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1.07%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42.10%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2.15%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流通股股票质押(场外)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1.06%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13.76%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3.73%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应收账款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4.50%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31.64%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