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9"/>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9"/>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浦发银行鑫盈利系列1年定开8号理财产品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2301202508(销售代码:2301202829/2301202830/2301202831/2301202832)</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8"/>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584,019,000.00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125.52%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2301202829 : 3.35%-4.35%</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2301202830 : 3.38%-4.38%</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2301202831 : 3.40%-4.40%</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2301202832 : 3.40%-4.40%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w:t>
            </w:r>
            <w:r>
              <w:rPr>
                <w:rFonts w:hint="eastAsia" w:ascii="仿宋_GB2312" w:eastAsia="仿宋_GB2312"/>
                <w:color w:val="000000"/>
                <w:kern w:val="0"/>
                <w:sz w:val="24"/>
                <w:szCs w:val="24"/>
                <w:lang w:val="en-US" w:eastAsia="zh-CN"/>
              </w:rPr>
              <w:t>4</w:t>
            </w:r>
            <w:r>
              <w:rPr>
                <w:rFonts w:hint="eastAsia" w:ascii="仿宋_GB2312" w:eastAsia="仿宋_GB2312"/>
                <w:color w:val="000000"/>
                <w:kern w:val="0"/>
                <w:sz w:val="24"/>
                <w:szCs w:val="24"/>
              </w:rPr>
              <w:t>-01至</w:t>
            </w:r>
            <w:bookmarkStart w:id="0" w:name="_GoBack"/>
            <w:bookmarkEnd w:id="0"/>
            <w:r>
              <w:rPr>
                <w:rFonts w:hint="eastAsia" w:ascii="仿宋_GB2312" w:eastAsia="仿宋_GB2312"/>
                <w:color w:val="000000"/>
                <w:kern w:val="0"/>
                <w:sz w:val="24"/>
                <w:szCs w:val="24"/>
              </w:rPr>
              <w:t>2021-06-30）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2301202829 : 235,386,506.99</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2301202830 : 161,750,223.51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2301202831 : 209,307,279.78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2301202829 : 1.0381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2301202830 : 1.0384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2301202831 : 1.0386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2301202829 : 1.0381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2301202830 : 1.0384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2301202831 : 1.0386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9"/>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1,677,750.82</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2</w:t>
            </w:r>
          </w:p>
        </w:tc>
        <w:tc>
          <w:tcPr>
            <w:tcW w:w="2620" w:type="dxa"/>
            <w:vAlign w:val="center"/>
          </w:tcPr>
          <w:p>
            <w:pPr>
              <w:jc w:val="center"/>
            </w:pPr>
            <w:r>
              <w:rPr>
                <w:rFonts w:ascii="仿宋_GB2312" w:hAnsi="Calibri" w:eastAsia="仿宋_GB2312" w:cs="宋体"/>
                <w:color w:val="000000"/>
                <w:sz w:val="24"/>
              </w:rPr>
              <w:t>债券投资</w:t>
            </w:r>
          </w:p>
        </w:tc>
        <w:tc>
          <w:tcPr>
            <w:tcW w:w="2694" w:type="dxa"/>
            <w:vAlign w:val="center"/>
          </w:tcPr>
          <w:p>
            <w:pPr>
              <w:jc w:val="center"/>
            </w:pPr>
            <w:r>
              <w:rPr>
                <w:rFonts w:ascii="仿宋_GB2312" w:hAnsi="Calibri" w:eastAsia="仿宋_GB2312" w:cs="宋体"/>
                <w:color w:val="000000"/>
                <w:sz w:val="24"/>
              </w:rPr>
              <w:t>687,848,994.41</w:t>
            </w:r>
          </w:p>
        </w:tc>
        <w:tc>
          <w:tcPr>
            <w:tcW w:w="2477" w:type="dxa"/>
            <w:vAlign w:val="center"/>
          </w:tcPr>
          <w:p>
            <w:pPr>
              <w:jc w:val="center"/>
            </w:pPr>
            <w:r>
              <w:rPr>
                <w:rFonts w:ascii="仿宋_GB2312" w:hAnsi="Calibri" w:eastAsia="仿宋_GB2312" w:cs="宋体"/>
                <w:color w:val="000000"/>
                <w:sz w:val="24"/>
              </w:rPr>
              <w:t>113.42%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3</w:t>
            </w:r>
          </w:p>
        </w:tc>
        <w:tc>
          <w:tcPr>
            <w:tcW w:w="2620" w:type="dxa"/>
            <w:vAlign w:val="center"/>
          </w:tcPr>
          <w:p>
            <w:pPr>
              <w:jc w:val="center"/>
            </w:pPr>
            <w:r>
              <w:rPr>
                <w:rFonts w:ascii="仿宋_GB2312" w:hAnsi="Calibri" w:eastAsia="仿宋_GB2312" w:cs="宋体"/>
                <w:color w:val="000000"/>
                <w:sz w:val="24"/>
              </w:rPr>
              <w:t>资产支持证券投资</w:t>
            </w:r>
          </w:p>
        </w:tc>
        <w:tc>
          <w:tcPr>
            <w:tcW w:w="2694" w:type="dxa"/>
            <w:vAlign w:val="center"/>
          </w:tcPr>
          <w:p>
            <w:pPr>
              <w:jc w:val="center"/>
            </w:pPr>
            <w:r>
              <w:rPr>
                <w:rFonts w:ascii="仿宋_GB2312" w:hAnsi="Calibri" w:eastAsia="仿宋_GB2312" w:cs="宋体"/>
                <w:color w:val="000000"/>
                <w:sz w:val="24"/>
              </w:rPr>
              <w:t>50,000,000.00</w:t>
            </w:r>
          </w:p>
        </w:tc>
        <w:tc>
          <w:tcPr>
            <w:tcW w:w="2477" w:type="dxa"/>
            <w:vAlign w:val="center"/>
          </w:tcPr>
          <w:p>
            <w:pPr>
              <w:jc w:val="center"/>
            </w:pPr>
            <w:r>
              <w:rPr>
                <w:rFonts w:ascii="仿宋_GB2312" w:hAnsi="Calibri" w:eastAsia="仿宋_GB2312" w:cs="宋体"/>
                <w:color w:val="000000"/>
                <w:sz w:val="24"/>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4</w:t>
            </w:r>
          </w:p>
        </w:tc>
        <w:tc>
          <w:tcPr>
            <w:tcW w:w="2620" w:type="dxa"/>
            <w:vAlign w:val="center"/>
          </w:tcPr>
          <w:p>
            <w:pPr>
              <w:jc w:val="center"/>
            </w:pPr>
            <w:r>
              <w:rPr>
                <w:rFonts w:ascii="仿宋_GB2312" w:hAnsi="Calibri" w:eastAsia="仿宋_GB2312" w:cs="宋体"/>
                <w:color w:val="000000"/>
                <w:sz w:val="24"/>
              </w:rPr>
              <w:t>信托计划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5</w:t>
            </w:r>
          </w:p>
        </w:tc>
        <w:tc>
          <w:tcPr>
            <w:tcW w:w="2620" w:type="dxa"/>
            <w:vAlign w:val="center"/>
          </w:tcPr>
          <w:p>
            <w:pPr>
              <w:jc w:val="center"/>
            </w:pPr>
            <w:r>
              <w:rPr>
                <w:rFonts w:ascii="仿宋_GB2312" w:hAnsi="Calibri" w:eastAsia="仿宋_GB2312" w:cs="宋体"/>
                <w:color w:val="000000"/>
                <w:sz w:val="24"/>
              </w:rPr>
              <w:t>资产管理计划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6</w:t>
            </w:r>
          </w:p>
        </w:tc>
        <w:tc>
          <w:tcPr>
            <w:tcW w:w="2620" w:type="dxa"/>
            <w:vAlign w:val="center"/>
          </w:tcPr>
          <w:p>
            <w:pPr>
              <w:jc w:val="center"/>
            </w:pPr>
            <w:r>
              <w:rPr>
                <w:rFonts w:ascii="仿宋_GB2312" w:hAnsi="Calibri" w:eastAsia="仿宋_GB2312" w:cs="宋体"/>
                <w:color w:val="000000"/>
                <w:sz w:val="24"/>
              </w:rPr>
              <w:t>净值类资产管理计划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7</w:t>
            </w:r>
          </w:p>
        </w:tc>
        <w:tc>
          <w:tcPr>
            <w:tcW w:w="2620" w:type="dxa"/>
            <w:vAlign w:val="center"/>
          </w:tcPr>
          <w:p>
            <w:pPr>
              <w:jc w:val="center"/>
            </w:pPr>
            <w:r>
              <w:rPr>
                <w:rFonts w:ascii="仿宋_GB2312" w:hAnsi="Calibri" w:eastAsia="仿宋_GB2312" w:cs="宋体"/>
                <w:color w:val="000000"/>
                <w:sz w:val="24"/>
              </w:rPr>
              <w:t>资金拆出</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8</w:t>
            </w:r>
          </w:p>
        </w:tc>
        <w:tc>
          <w:tcPr>
            <w:tcW w:w="2620" w:type="dxa"/>
            <w:vAlign w:val="center"/>
          </w:tcPr>
          <w:p>
            <w:pPr>
              <w:jc w:val="center"/>
            </w:pPr>
            <w:r>
              <w:rPr>
                <w:rFonts w:ascii="仿宋_GB2312" w:hAnsi="Calibri" w:eastAsia="仿宋_GB2312" w:cs="宋体"/>
                <w:color w:val="000000"/>
                <w:sz w:val="24"/>
              </w:rPr>
              <w:t>结算备付金</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9</w:t>
            </w:r>
          </w:p>
        </w:tc>
        <w:tc>
          <w:tcPr>
            <w:tcW w:w="2620" w:type="dxa"/>
            <w:vAlign w:val="center"/>
          </w:tcPr>
          <w:p>
            <w:pPr>
              <w:jc w:val="center"/>
            </w:pPr>
            <w:r>
              <w:rPr>
                <w:rFonts w:ascii="仿宋_GB2312" w:hAnsi="Calibri" w:eastAsia="仿宋_GB2312" w:cs="宋体"/>
                <w:color w:val="000000"/>
                <w:sz w:val="24"/>
              </w:rPr>
              <w:t>买入返售金融资产</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10</w:t>
            </w:r>
          </w:p>
        </w:tc>
        <w:tc>
          <w:tcPr>
            <w:tcW w:w="2620" w:type="dxa"/>
            <w:vAlign w:val="center"/>
          </w:tcPr>
          <w:p>
            <w:pPr>
              <w:jc w:val="center"/>
            </w:pPr>
            <w:r>
              <w:rPr>
                <w:rFonts w:ascii="仿宋_GB2312" w:hAnsi="Calibri" w:eastAsia="仿宋_GB2312" w:cs="宋体"/>
                <w:color w:val="000000"/>
                <w:sz w:val="24"/>
              </w:rPr>
              <w:t>其他资产</w:t>
            </w:r>
          </w:p>
        </w:tc>
        <w:tc>
          <w:tcPr>
            <w:tcW w:w="2694" w:type="dxa"/>
            <w:vAlign w:val="center"/>
          </w:tcPr>
          <w:p>
            <w:pPr>
              <w:jc w:val="center"/>
            </w:pPr>
            <w:r>
              <w:rPr>
                <w:rFonts w:ascii="仿宋_GB2312" w:hAnsi="Calibri" w:eastAsia="仿宋_GB2312" w:cs="宋体"/>
                <w:color w:val="000000"/>
                <w:sz w:val="24"/>
              </w:rPr>
              <w:t>0.00</w:t>
            </w:r>
          </w:p>
        </w:tc>
        <w:tc>
          <w:tcPr>
            <w:tcW w:w="2477" w:type="dxa"/>
            <w:vAlign w:val="center"/>
          </w:tcPr>
          <w:p>
            <w:pPr>
              <w:jc w:val="center"/>
            </w:pPr>
            <w:r>
              <w:rPr>
                <w:rFonts w:ascii="仿宋_GB2312" w:hAnsi="Calibri" w:eastAsia="仿宋_GB2312"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11</w:t>
            </w:r>
          </w:p>
        </w:tc>
        <w:tc>
          <w:tcPr>
            <w:tcW w:w="2620" w:type="dxa"/>
            <w:vAlign w:val="center"/>
          </w:tcPr>
          <w:p>
            <w:pPr>
              <w:jc w:val="center"/>
            </w:pPr>
            <w:r>
              <w:rPr>
                <w:rFonts w:ascii="仿宋_GB2312" w:hAnsi="Calibri" w:eastAsia="仿宋_GB2312" w:cs="宋体"/>
                <w:color w:val="000000"/>
                <w:sz w:val="24"/>
              </w:rPr>
              <w:t>应收利息</w:t>
            </w:r>
          </w:p>
        </w:tc>
        <w:tc>
          <w:tcPr>
            <w:tcW w:w="2694" w:type="dxa"/>
            <w:vAlign w:val="center"/>
          </w:tcPr>
          <w:p>
            <w:pPr>
              <w:jc w:val="center"/>
            </w:pPr>
            <w:r>
              <w:rPr>
                <w:rFonts w:ascii="仿宋_GB2312" w:hAnsi="Calibri" w:eastAsia="仿宋_GB2312" w:cs="宋体"/>
                <w:color w:val="000000"/>
                <w:sz w:val="24"/>
              </w:rPr>
              <w:t>21,658,984.46</w:t>
            </w:r>
          </w:p>
        </w:tc>
        <w:tc>
          <w:tcPr>
            <w:tcW w:w="2477" w:type="dxa"/>
            <w:vAlign w:val="center"/>
          </w:tcPr>
          <w:p>
            <w:pPr>
              <w:jc w:val="center"/>
            </w:pPr>
            <w:r>
              <w:rPr>
                <w:rFonts w:ascii="仿宋_GB2312" w:hAnsi="Calibri" w:eastAsia="仿宋_GB2312" w:cs="宋体"/>
                <w:color w:val="000000"/>
                <w:sz w:val="24"/>
              </w:rPr>
              <w:t>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p>
        </w:tc>
        <w:tc>
          <w:tcPr>
            <w:tcW w:w="2620" w:type="dxa"/>
            <w:vAlign w:val="center"/>
          </w:tcPr>
          <w:p>
            <w:pPr>
              <w:jc w:val="center"/>
            </w:pPr>
            <w:r>
              <w:rPr>
                <w:rFonts w:ascii="仿宋_GB2312" w:hAnsi="Calibri" w:eastAsia="仿宋_GB2312" w:cs="宋体"/>
                <w:color w:val="000000"/>
                <w:sz w:val="24"/>
              </w:rPr>
              <w:t>合计</w:t>
            </w:r>
          </w:p>
        </w:tc>
        <w:tc>
          <w:tcPr>
            <w:tcW w:w="2694" w:type="dxa"/>
            <w:vAlign w:val="center"/>
          </w:tcPr>
          <w:p>
            <w:pPr>
              <w:jc w:val="center"/>
            </w:pPr>
            <w:r>
              <w:rPr>
                <w:rFonts w:ascii="仿宋_GB2312" w:hAnsi="Calibri" w:eastAsia="仿宋_GB2312" w:cs="宋体"/>
                <w:color w:val="000000"/>
                <w:sz w:val="24"/>
              </w:rPr>
              <w:t>761,185,729.69</w:t>
            </w:r>
          </w:p>
        </w:tc>
        <w:tc>
          <w:tcPr>
            <w:tcW w:w="2477" w:type="dxa"/>
            <w:vAlign w:val="center"/>
          </w:tcPr>
          <w:p>
            <w:pPr>
              <w:jc w:val="center"/>
            </w:pPr>
            <w:r>
              <w:rPr>
                <w:rFonts w:ascii="仿宋_GB2312" w:hAnsi="Calibri" w:eastAsia="仿宋_GB2312" w:cs="宋体"/>
                <w:color w:val="000000"/>
                <w:sz w:val="24"/>
              </w:rPr>
              <w:t>125.52%</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rPr>
          <w:rFonts w:ascii="仿宋_GB2312" w:hAnsi="Calibri" w:eastAsia="仿宋_GB2312"/>
          <w:sz w:val="24"/>
          <w:szCs w:val="24"/>
        </w:rPr>
      </w:pPr>
      <w:r>
        <w:rPr>
          <w:rFonts w:hint="eastAsia" w:ascii="仿宋_GB2312" w:eastAsia="仿宋_GB2312"/>
          <w:color w:val="404040"/>
          <w:kern w:val="0"/>
          <w:sz w:val="24"/>
          <w:szCs w:val="24"/>
        </w:rPr>
        <w:t xml:space="preserve">    报告期内，十年期国债收益率季末收在3.09%，债券收益率整体呈震荡下行。本产品采用混合估值，以配置中短久期的高等级信用债为主,通过分散化投资以及行内评审会流程精选个券，构建具有较好流动性、久期适中、信用风险可控的优质债券组合。本产品持仓以高评级信用债为主，杠杆率控制在合理水平，组合的流动性风险处于合理可控水平。</w:t>
      </w: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9"/>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20晋能CP003</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55,000,000.00</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9.07%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2</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17华夏银行二级01</w:t>
            </w:r>
          </w:p>
        </w:tc>
        <w:tc>
          <w:tcPr>
            <w:tcW w:w="2835" w:type="dxa"/>
          </w:tcPr>
          <w:p>
            <w:pPr>
              <w:jc w:val="center"/>
            </w:pPr>
            <w:r>
              <w:rPr>
                <w:rFonts w:ascii="仿宋_GB2312" w:hAnsi="Calibri" w:eastAsia="仿宋_GB2312" w:cs="宋体"/>
                <w:color w:val="000000"/>
                <w:sz w:val="24"/>
              </w:rPr>
              <w:t>50,889,333.32</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8.39%</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3</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17光大银行二级01</w:t>
            </w:r>
          </w:p>
        </w:tc>
        <w:tc>
          <w:tcPr>
            <w:tcW w:w="2835" w:type="dxa"/>
          </w:tcPr>
          <w:p>
            <w:pPr>
              <w:jc w:val="center"/>
            </w:pPr>
            <w:r>
              <w:rPr>
                <w:rFonts w:ascii="仿宋_GB2312" w:hAnsi="Calibri" w:eastAsia="仿宋_GB2312" w:cs="宋体"/>
                <w:color w:val="000000"/>
                <w:sz w:val="24"/>
              </w:rPr>
              <w:t>50,730,226.63</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8.37%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4</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17交通银行二级</w:t>
            </w:r>
          </w:p>
        </w:tc>
        <w:tc>
          <w:tcPr>
            <w:tcW w:w="2835" w:type="dxa"/>
          </w:tcPr>
          <w:p>
            <w:pPr>
              <w:jc w:val="center"/>
            </w:pPr>
            <w:r>
              <w:rPr>
                <w:rFonts w:ascii="仿宋_GB2312" w:hAnsi="Calibri" w:eastAsia="仿宋_GB2312" w:cs="宋体"/>
                <w:color w:val="000000"/>
                <w:sz w:val="24"/>
              </w:rPr>
              <w:t>50,632,641.89</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8.35%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5</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20鲁钢铁CP003</w:t>
            </w:r>
          </w:p>
        </w:tc>
        <w:tc>
          <w:tcPr>
            <w:tcW w:w="2835" w:type="dxa"/>
          </w:tcPr>
          <w:p>
            <w:pPr>
              <w:jc w:val="center"/>
            </w:pPr>
            <w:r>
              <w:rPr>
                <w:rFonts w:ascii="仿宋_GB2312" w:hAnsi="Calibri" w:eastAsia="仿宋_GB2312" w:cs="宋体"/>
                <w:color w:val="000000"/>
                <w:sz w:val="24"/>
              </w:rPr>
              <w:t>50,000,000.00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8.24%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6</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20弘基保理ABN001优先</w:t>
            </w:r>
          </w:p>
        </w:tc>
        <w:tc>
          <w:tcPr>
            <w:tcW w:w="2835" w:type="dxa"/>
          </w:tcPr>
          <w:p>
            <w:pPr>
              <w:jc w:val="center"/>
            </w:pPr>
            <w:r>
              <w:rPr>
                <w:rFonts w:ascii="仿宋_GB2312" w:hAnsi="Calibri" w:eastAsia="仿宋_GB2312" w:cs="宋体"/>
                <w:color w:val="000000"/>
                <w:sz w:val="24"/>
              </w:rPr>
              <w:t>50,000,000.00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8.24%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7</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20河钢集MTN007</w:t>
            </w:r>
          </w:p>
        </w:tc>
        <w:tc>
          <w:tcPr>
            <w:tcW w:w="2835" w:type="dxa"/>
          </w:tcPr>
          <w:p>
            <w:pPr>
              <w:jc w:val="center"/>
            </w:pPr>
            <w:r>
              <w:rPr>
                <w:rFonts w:ascii="仿宋_GB2312" w:hAnsi="Calibri" w:eastAsia="仿宋_GB2312" w:cs="宋体"/>
                <w:color w:val="000000"/>
                <w:sz w:val="24"/>
              </w:rPr>
              <w:t>50,000,000.00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8.24%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8</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20梅山岛MTN001</w:t>
            </w:r>
          </w:p>
        </w:tc>
        <w:tc>
          <w:tcPr>
            <w:tcW w:w="2835" w:type="dxa"/>
          </w:tcPr>
          <w:p>
            <w:pPr>
              <w:jc w:val="center"/>
            </w:pPr>
            <w:r>
              <w:rPr>
                <w:rFonts w:ascii="仿宋_GB2312" w:hAnsi="Calibri" w:eastAsia="仿宋_GB2312" w:cs="宋体"/>
                <w:color w:val="000000"/>
                <w:sz w:val="24"/>
              </w:rPr>
              <w:t>50,000,000.00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8.24%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9</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20中广核MTN002</w:t>
            </w:r>
          </w:p>
        </w:tc>
        <w:tc>
          <w:tcPr>
            <w:tcW w:w="2835" w:type="dxa"/>
          </w:tcPr>
          <w:p>
            <w:pPr>
              <w:jc w:val="center"/>
            </w:pPr>
            <w:r>
              <w:rPr>
                <w:rFonts w:ascii="仿宋_GB2312" w:hAnsi="Calibri" w:eastAsia="仿宋_GB2312" w:cs="宋体"/>
                <w:color w:val="000000"/>
                <w:sz w:val="24"/>
              </w:rPr>
              <w:t>50,000,000.00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8.24%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10</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20陕煤化MTN003</w:t>
            </w:r>
          </w:p>
        </w:tc>
        <w:tc>
          <w:tcPr>
            <w:tcW w:w="2835" w:type="dxa"/>
          </w:tcPr>
          <w:p>
            <w:pPr>
              <w:jc w:val="center"/>
            </w:pPr>
            <w:r>
              <w:rPr>
                <w:rFonts w:ascii="仿宋_GB2312" w:hAnsi="Calibri" w:eastAsia="仿宋_GB2312" w:cs="宋体"/>
                <w:color w:val="000000"/>
                <w:sz w:val="24"/>
              </w:rPr>
              <w:t>50,000,000.00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8.24%</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8"/>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9"/>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kern w:val="2"/>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7"/>
          <w:rFonts w:hint="eastAsia" w:ascii="仿宋_GB2312" w:eastAsia="仿宋_GB2312"/>
          <w:sz w:val="24"/>
          <w:szCs w:val="24"/>
        </w:rPr>
        <w:t>http://www.spdb.com.cn/</w:t>
      </w:r>
      <w:r>
        <w:rPr>
          <w:rStyle w:val="7"/>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8"/>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C714B"/>
    <w:rsid w:val="004E272F"/>
    <w:rsid w:val="00517485"/>
    <w:rsid w:val="00564E1C"/>
    <w:rsid w:val="0058623B"/>
    <w:rsid w:val="005B0E63"/>
    <w:rsid w:val="006304A5"/>
    <w:rsid w:val="006E00B8"/>
    <w:rsid w:val="007167B6"/>
    <w:rsid w:val="00781652"/>
    <w:rsid w:val="007D042E"/>
    <w:rsid w:val="007E2254"/>
    <w:rsid w:val="008579C9"/>
    <w:rsid w:val="008D4921"/>
    <w:rsid w:val="009027FB"/>
    <w:rsid w:val="0093653B"/>
    <w:rsid w:val="00973891"/>
    <w:rsid w:val="009B6B6E"/>
    <w:rsid w:val="009F0B98"/>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864D2"/>
    <w:rsid w:val="00FB1262"/>
    <w:rsid w:val="00FB4D10"/>
    <w:rsid w:val="00FC64B6"/>
    <w:rsid w:val="00FE7D7B"/>
    <w:rsid w:val="55FD0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Hyperlink"/>
    <w:basedOn w:val="6"/>
    <w:semiHidden/>
    <w:unhideWhenUsed/>
    <w:qFormat/>
    <w:uiPriority w:val="99"/>
    <w:rPr>
      <w:color w:val="0000FF"/>
      <w:u w:val="single"/>
    </w:rPr>
  </w:style>
  <w:style w:type="character" w:styleId="8">
    <w:name w:val="footnote reference"/>
    <w:semiHidden/>
    <w:qFormat/>
    <w:uiPriority w:val="99"/>
    <w:rPr>
      <w:vertAlign w:val="superscript"/>
    </w:rPr>
  </w:style>
  <w:style w:type="table" w:styleId="10">
    <w:name w:val="Table Grid"/>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3"/>
    <w:uiPriority w:val="99"/>
    <w:rPr>
      <w:sz w:val="18"/>
      <w:szCs w:val="18"/>
    </w:rPr>
  </w:style>
  <w:style w:type="character" w:customStyle="1" w:styleId="12">
    <w:name w:val="页脚 Char"/>
    <w:basedOn w:val="6"/>
    <w:link w:val="2"/>
    <w:qFormat/>
    <w:uiPriority w:val="99"/>
    <w:rPr>
      <w:sz w:val="18"/>
      <w:szCs w:val="18"/>
    </w:rPr>
  </w:style>
  <w:style w:type="character" w:customStyle="1" w:styleId="13">
    <w:name w:val="脚注文本 Char"/>
    <w:basedOn w:val="6"/>
    <w:link w:val="4"/>
    <w:semiHidden/>
    <w:qFormat/>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406</Words>
  <Characters>2318</Characters>
  <Lines>19</Lines>
  <Paragraphs>5</Paragraphs>
  <TotalTime>1306</TotalTime>
  <ScaleCrop>false</ScaleCrop>
  <LinksUpToDate>false</LinksUpToDate>
  <CharactersWithSpaces>2719</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user</cp:lastModifiedBy>
  <dcterms:modified xsi:type="dcterms:W3CDTF">2021-07-15T01:02:27Z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