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9"/>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9"/>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浦发银行鑫盈利系列1年定开12号理财产品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2301192534</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8"/>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C1031019000549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2020-02-26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1,688,988,993.62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107.32%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2301192534 : 3.90%</w:t>
            </w:r>
            <w:r>
              <w:rPr>
                <w:rFonts w:hint="eastAsia" w:ascii="仿宋_GB2312" w:hAnsi="Calibri" w:eastAsia="仿宋_GB2312" w:cs="宋体"/>
                <w:color w:val="000000"/>
                <w:sz w:val="24"/>
                <w:szCs w:val="24"/>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较低风险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报告期（2021-01-01至2021-03-31）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2301192534 : 1,755,846,429.66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2301192534 : 1.0396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2301192534 : 1.0396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9"/>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791,532.17</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2</w:t>
            </w:r>
          </w:p>
        </w:tc>
        <w:tc>
          <w:tcPr>
            <w:tcW w:w="2620" w:type="dxa"/>
            <w:vAlign w:val="center"/>
          </w:tcPr>
          <w:p>
            <w:pPr>
              <w:jc w:val="center"/>
            </w:pPr>
            <w:r>
              <w:rPr>
                <w:rFonts w:eastAsia="Times New Roman"/>
                <w:color w:val="000000"/>
                <w:sz w:val="24"/>
              </w:rPr>
              <w:t>债券投资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1,855,453,011.65</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105.67%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3</w:t>
            </w:r>
          </w:p>
        </w:tc>
        <w:tc>
          <w:tcPr>
            <w:tcW w:w="2620" w:type="dxa"/>
            <w:vAlign w:val="center"/>
          </w:tcPr>
          <w:p>
            <w:pPr>
              <w:jc w:val="center"/>
            </w:pPr>
            <w:r>
              <w:rPr>
                <w:rFonts w:eastAsia="Times New Roman"/>
                <w:color w:val="000000"/>
                <w:sz w:val="24"/>
              </w:rPr>
              <w:t>资产支持证券投资</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4</w:t>
            </w:r>
          </w:p>
        </w:tc>
        <w:tc>
          <w:tcPr>
            <w:tcW w:w="2620" w:type="dxa"/>
            <w:vAlign w:val="center"/>
          </w:tcPr>
          <w:p>
            <w:pPr>
              <w:jc w:val="center"/>
            </w:pPr>
            <w:r>
              <w:rPr>
                <w:rFonts w:eastAsia="Times New Roman"/>
                <w:color w:val="000000"/>
                <w:sz w:val="24"/>
              </w:rPr>
              <w:t>信托计划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5</w:t>
            </w:r>
          </w:p>
        </w:tc>
        <w:tc>
          <w:tcPr>
            <w:tcW w:w="2620" w:type="dxa"/>
            <w:vAlign w:val="center"/>
          </w:tcPr>
          <w:p>
            <w:pPr>
              <w:jc w:val="center"/>
            </w:pPr>
            <w:r>
              <w:rPr>
                <w:rFonts w:eastAsia="Times New Roman"/>
                <w:color w:val="000000"/>
                <w:sz w:val="24"/>
              </w:rPr>
              <w:t>资产管理计划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6</w:t>
            </w:r>
          </w:p>
        </w:tc>
        <w:tc>
          <w:tcPr>
            <w:tcW w:w="2620" w:type="dxa"/>
            <w:vAlign w:val="center"/>
          </w:tcPr>
          <w:p>
            <w:pPr>
              <w:jc w:val="center"/>
            </w:pPr>
            <w:r>
              <w:rPr>
                <w:rFonts w:eastAsia="Times New Roman"/>
                <w:color w:val="000000"/>
                <w:sz w:val="24"/>
              </w:rPr>
              <w:t>净值类资产管理计划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7</w:t>
            </w:r>
          </w:p>
        </w:tc>
        <w:tc>
          <w:tcPr>
            <w:tcW w:w="2620" w:type="dxa"/>
            <w:vAlign w:val="center"/>
          </w:tcPr>
          <w:p>
            <w:pPr>
              <w:jc w:val="center"/>
            </w:pPr>
            <w:r>
              <w:rPr>
                <w:rFonts w:eastAsia="Times New Roman"/>
                <w:color w:val="000000"/>
                <w:sz w:val="24"/>
              </w:rPr>
              <w:t>资金拆出</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8</w:t>
            </w:r>
          </w:p>
        </w:tc>
        <w:tc>
          <w:tcPr>
            <w:tcW w:w="2620" w:type="dxa"/>
            <w:vAlign w:val="center"/>
          </w:tcPr>
          <w:p>
            <w:pPr>
              <w:jc w:val="center"/>
            </w:pPr>
            <w:r>
              <w:rPr>
                <w:rFonts w:eastAsia="Times New Roman"/>
                <w:color w:val="000000"/>
                <w:sz w:val="24"/>
              </w:rPr>
              <w:t>结算备付金</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9</w:t>
            </w:r>
          </w:p>
        </w:tc>
        <w:tc>
          <w:tcPr>
            <w:tcW w:w="2620" w:type="dxa"/>
            <w:vAlign w:val="center"/>
          </w:tcPr>
          <w:p>
            <w:pPr>
              <w:jc w:val="center"/>
            </w:pPr>
            <w:r>
              <w:rPr>
                <w:rFonts w:eastAsia="Times New Roman"/>
                <w:color w:val="000000"/>
                <w:sz w:val="24"/>
              </w:rPr>
              <w:t>买入返售金融资产</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10</w:t>
            </w:r>
          </w:p>
        </w:tc>
        <w:tc>
          <w:tcPr>
            <w:tcW w:w="2620" w:type="dxa"/>
            <w:vAlign w:val="center"/>
          </w:tcPr>
          <w:p>
            <w:pPr>
              <w:jc w:val="center"/>
            </w:pPr>
            <w:r>
              <w:rPr>
                <w:rFonts w:eastAsia="Times New Roman"/>
                <w:color w:val="000000"/>
                <w:sz w:val="24"/>
              </w:rPr>
              <w:t>其他资产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0.00</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11</w:t>
            </w:r>
          </w:p>
        </w:tc>
        <w:tc>
          <w:tcPr>
            <w:tcW w:w="2620" w:type="dxa"/>
            <w:vAlign w:val="center"/>
          </w:tcPr>
          <w:p>
            <w:pPr>
              <w:jc w:val="center"/>
            </w:pPr>
            <w:r>
              <w:rPr>
                <w:rFonts w:eastAsia="Times New Roman"/>
                <w:color w:val="000000"/>
                <w:sz w:val="24"/>
              </w:rPr>
              <w:t>应收利息</w:t>
            </w:r>
          </w:p>
        </w:tc>
        <w:tc>
          <w:tcPr>
            <w:tcW w:w="2694" w:type="dxa"/>
            <w:vAlign w:val="center"/>
          </w:tcPr>
          <w:p>
            <w:pPr>
              <w:jc w:val="center"/>
            </w:pPr>
            <w:r>
              <w:rPr>
                <w:rFonts w:eastAsia="Times New Roman"/>
                <w:color w:val="000000"/>
                <w:sz w:val="24"/>
              </w:rPr>
              <w:t>28,145,788.03</w:t>
            </w:r>
          </w:p>
        </w:tc>
        <w:tc>
          <w:tcPr>
            <w:tcW w:w="2477" w:type="dxa"/>
            <w:vAlign w:val="center"/>
          </w:tcPr>
          <w:p>
            <w:pPr>
              <w:jc w:val="center"/>
            </w:pPr>
            <w:r>
              <w:rPr>
                <w:rFonts w:eastAsia="Times New Roman"/>
                <w:color w:val="000000"/>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p>
        </w:tc>
        <w:tc>
          <w:tcPr>
            <w:tcW w:w="2620" w:type="dxa"/>
            <w:vAlign w:val="center"/>
          </w:tcPr>
          <w:p>
            <w:pPr>
              <w:jc w:val="center"/>
            </w:pPr>
            <w:r>
              <w:rPr>
                <w:rFonts w:eastAsia="Times New Roman"/>
                <w:color w:val="000000"/>
                <w:sz w:val="24"/>
              </w:rPr>
              <w:t>合计</w:t>
            </w:r>
          </w:p>
        </w:tc>
        <w:tc>
          <w:tcPr>
            <w:tcW w:w="2694" w:type="dxa"/>
            <w:vAlign w:val="center"/>
          </w:tcPr>
          <w:p>
            <w:pPr>
              <w:jc w:val="center"/>
            </w:pPr>
            <w:r>
              <w:rPr>
                <w:rFonts w:eastAsia="Times New Roman"/>
                <w:color w:val="000000"/>
                <w:sz w:val="24"/>
              </w:rPr>
              <w:t>1,884,390,331.85</w:t>
            </w:r>
          </w:p>
        </w:tc>
        <w:tc>
          <w:tcPr>
            <w:tcW w:w="2477" w:type="dxa"/>
            <w:vAlign w:val="center"/>
          </w:tcPr>
          <w:p>
            <w:pPr>
              <w:jc w:val="center"/>
            </w:pPr>
            <w:r>
              <w:rPr>
                <w:rFonts w:eastAsia="Times New Roman"/>
                <w:color w:val="000000"/>
                <w:sz w:val="24"/>
              </w:rPr>
              <w:t>107.32%</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snapToGrid w:val="0"/>
        <w:spacing w:line="360" w:lineRule="auto"/>
        <w:ind w:firstLine="360"/>
        <w:jc w:val="left"/>
        <w:rPr>
          <w:rFonts w:ascii="仿宋_GB2312" w:hAnsi="Calibri" w:eastAsia="仿宋_GB2312"/>
          <w:sz w:val="24"/>
          <w:szCs w:val="24"/>
        </w:rPr>
      </w:pPr>
      <w:r>
        <w:rPr>
          <w:rFonts w:hint="eastAsia" w:ascii="仿宋_GB2312" w:hAnsi="Calibri" w:eastAsia="仿宋_GB2312"/>
          <w:sz w:val="24"/>
          <w:szCs w:val="24"/>
        </w:rPr>
        <w:t>报告期内，债券收益率持续震荡，十年期国债收益率全年收在3.19%，整个一季度小幅上行。本产品采用混合法估值，以配置中短久期的高等级信用债为主,通过分散化投资构建具有较好流动性、久期适中、信用风险可控的优质债券组合。本产品持仓以高评级信用债为主，杠杆率控制在合理水平，组合的流动性风险处于合理可控水平。</w:t>
      </w: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9"/>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4"/>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21河钢集CP001</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150,015,000.00</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8.54%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2</w:t>
            </w:r>
          </w:p>
        </w:tc>
        <w:tc>
          <w:tcPr>
            <w:tcW w:w="2268" w:type="dxa"/>
            <w:tcMar>
              <w:top w:w="15" w:type="dxa"/>
              <w:left w:w="15" w:type="dxa"/>
              <w:bottom w:w="0" w:type="dxa"/>
              <w:right w:w="15" w:type="dxa"/>
            </w:tcMar>
          </w:tcPr>
          <w:p>
            <w:pPr>
              <w:jc w:val="center"/>
            </w:pPr>
            <w:r>
              <w:rPr>
                <w:rFonts w:eastAsia="Times New Roman"/>
                <w:color w:val="000000"/>
                <w:sz w:val="24"/>
              </w:rPr>
              <w:t>17华夏银行二级01</w:t>
            </w:r>
          </w:p>
        </w:tc>
        <w:tc>
          <w:tcPr>
            <w:tcW w:w="2835" w:type="dxa"/>
          </w:tcPr>
          <w:p>
            <w:pPr>
              <w:jc w:val="center"/>
            </w:pPr>
            <w:r>
              <w:rPr>
                <w:rFonts w:eastAsia="Times New Roman"/>
                <w:color w:val="000000"/>
                <w:sz w:val="24"/>
              </w:rPr>
              <w:t>101,660,000.00</w:t>
            </w:r>
          </w:p>
        </w:tc>
        <w:tc>
          <w:tcPr>
            <w:tcW w:w="2835" w:type="dxa"/>
            <w:tcMar>
              <w:top w:w="15" w:type="dxa"/>
              <w:left w:w="15" w:type="dxa"/>
              <w:bottom w:w="0" w:type="dxa"/>
              <w:right w:w="15" w:type="dxa"/>
            </w:tcMar>
          </w:tcPr>
          <w:p>
            <w:pPr>
              <w:jc w:val="center"/>
            </w:pPr>
            <w:r>
              <w:rPr>
                <w:rFonts w:eastAsia="Times New Roman"/>
                <w:color w:val="000000"/>
                <w:sz w:val="24"/>
              </w:rPr>
              <w:t>5.79%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3</w:t>
            </w:r>
          </w:p>
        </w:tc>
        <w:tc>
          <w:tcPr>
            <w:tcW w:w="2268" w:type="dxa"/>
            <w:tcMar>
              <w:top w:w="15" w:type="dxa"/>
              <w:left w:w="15" w:type="dxa"/>
              <w:bottom w:w="0" w:type="dxa"/>
              <w:right w:w="15" w:type="dxa"/>
            </w:tcMar>
          </w:tcPr>
          <w:p>
            <w:pPr>
              <w:jc w:val="center"/>
            </w:pPr>
            <w:r>
              <w:rPr>
                <w:rFonts w:eastAsia="Times New Roman"/>
                <w:color w:val="000000"/>
                <w:sz w:val="24"/>
              </w:rPr>
              <w:t>21新希望CP002(高成长债)</w:t>
            </w:r>
          </w:p>
        </w:tc>
        <w:tc>
          <w:tcPr>
            <w:tcW w:w="2835" w:type="dxa"/>
          </w:tcPr>
          <w:p>
            <w:pPr>
              <w:jc w:val="center"/>
            </w:pPr>
            <w:r>
              <w:rPr>
                <w:rFonts w:eastAsia="Times New Roman"/>
                <w:color w:val="000000"/>
                <w:sz w:val="24"/>
              </w:rPr>
              <w:t>99,990,000.00</w:t>
            </w:r>
          </w:p>
        </w:tc>
        <w:tc>
          <w:tcPr>
            <w:tcW w:w="2835" w:type="dxa"/>
            <w:tcMar>
              <w:top w:w="15" w:type="dxa"/>
              <w:left w:w="15" w:type="dxa"/>
              <w:bottom w:w="0" w:type="dxa"/>
              <w:right w:w="15" w:type="dxa"/>
            </w:tcMar>
          </w:tcPr>
          <w:p>
            <w:pPr>
              <w:jc w:val="center"/>
            </w:pPr>
            <w:r>
              <w:rPr>
                <w:rFonts w:eastAsia="Times New Roman"/>
                <w:color w:val="000000"/>
                <w:sz w:val="24"/>
              </w:rPr>
              <w:t>5.69%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4</w:t>
            </w:r>
          </w:p>
        </w:tc>
        <w:tc>
          <w:tcPr>
            <w:tcW w:w="2268" w:type="dxa"/>
            <w:tcMar>
              <w:top w:w="15" w:type="dxa"/>
              <w:left w:w="15" w:type="dxa"/>
              <w:bottom w:w="0" w:type="dxa"/>
              <w:right w:w="15" w:type="dxa"/>
            </w:tcMar>
          </w:tcPr>
          <w:p>
            <w:pPr>
              <w:jc w:val="center"/>
            </w:pPr>
            <w:r>
              <w:rPr>
                <w:rFonts w:eastAsia="Times New Roman"/>
                <w:color w:val="000000"/>
                <w:sz w:val="24"/>
              </w:rPr>
              <w:t>20潞安CP002</w:t>
            </w:r>
          </w:p>
        </w:tc>
        <w:tc>
          <w:tcPr>
            <w:tcW w:w="2835" w:type="dxa"/>
          </w:tcPr>
          <w:p>
            <w:pPr>
              <w:jc w:val="center"/>
            </w:pPr>
            <w:r>
              <w:rPr>
                <w:rFonts w:eastAsia="Times New Roman"/>
                <w:color w:val="000000"/>
                <w:sz w:val="24"/>
              </w:rPr>
              <w:t>99,370,000.00</w:t>
            </w:r>
          </w:p>
        </w:tc>
        <w:tc>
          <w:tcPr>
            <w:tcW w:w="2835" w:type="dxa"/>
            <w:tcMar>
              <w:top w:w="15" w:type="dxa"/>
              <w:left w:w="15" w:type="dxa"/>
              <w:bottom w:w="0" w:type="dxa"/>
              <w:right w:w="15" w:type="dxa"/>
            </w:tcMar>
          </w:tcPr>
          <w:p>
            <w:pPr>
              <w:jc w:val="center"/>
            </w:pPr>
            <w:r>
              <w:rPr>
                <w:rFonts w:eastAsia="Times New Roman"/>
                <w:color w:val="000000"/>
                <w:sz w:val="24"/>
              </w:rPr>
              <w:t>5.66%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5</w:t>
            </w:r>
          </w:p>
        </w:tc>
        <w:tc>
          <w:tcPr>
            <w:tcW w:w="2268" w:type="dxa"/>
            <w:tcMar>
              <w:top w:w="15" w:type="dxa"/>
              <w:left w:w="15" w:type="dxa"/>
              <w:bottom w:w="0" w:type="dxa"/>
              <w:right w:w="15" w:type="dxa"/>
            </w:tcMar>
          </w:tcPr>
          <w:p>
            <w:pPr>
              <w:jc w:val="center"/>
            </w:pPr>
            <w:r>
              <w:rPr>
                <w:rFonts w:eastAsia="Times New Roman"/>
                <w:color w:val="000000"/>
                <w:sz w:val="24"/>
              </w:rPr>
              <w:t>21中国银行CD007</w:t>
            </w:r>
          </w:p>
        </w:tc>
        <w:tc>
          <w:tcPr>
            <w:tcW w:w="2835" w:type="dxa"/>
          </w:tcPr>
          <w:p>
            <w:pPr>
              <w:jc w:val="center"/>
            </w:pPr>
            <w:r>
              <w:rPr>
                <w:rFonts w:eastAsia="Times New Roman"/>
                <w:color w:val="000000"/>
                <w:sz w:val="24"/>
              </w:rPr>
              <w:t>97,850,000.00</w:t>
            </w:r>
          </w:p>
        </w:tc>
        <w:tc>
          <w:tcPr>
            <w:tcW w:w="2835" w:type="dxa"/>
            <w:tcMar>
              <w:top w:w="15" w:type="dxa"/>
              <w:left w:w="15" w:type="dxa"/>
              <w:bottom w:w="0" w:type="dxa"/>
              <w:right w:w="15" w:type="dxa"/>
            </w:tcMar>
          </w:tcPr>
          <w:p>
            <w:pPr>
              <w:jc w:val="center"/>
            </w:pPr>
            <w:r>
              <w:rPr>
                <w:rFonts w:eastAsia="Times New Roman"/>
                <w:color w:val="000000"/>
                <w:sz w:val="24"/>
              </w:rPr>
              <w:t>5.57%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6</w:t>
            </w:r>
          </w:p>
        </w:tc>
        <w:tc>
          <w:tcPr>
            <w:tcW w:w="2268" w:type="dxa"/>
            <w:tcMar>
              <w:top w:w="15" w:type="dxa"/>
              <w:left w:w="15" w:type="dxa"/>
              <w:bottom w:w="0" w:type="dxa"/>
              <w:right w:w="15" w:type="dxa"/>
            </w:tcMar>
          </w:tcPr>
          <w:p>
            <w:pPr>
              <w:jc w:val="center"/>
            </w:pPr>
            <w:r>
              <w:rPr>
                <w:rFonts w:eastAsia="Times New Roman"/>
                <w:color w:val="000000"/>
                <w:sz w:val="24"/>
              </w:rPr>
              <w:t>21中信银行CD040</w:t>
            </w:r>
          </w:p>
        </w:tc>
        <w:tc>
          <w:tcPr>
            <w:tcW w:w="2835" w:type="dxa"/>
          </w:tcPr>
          <w:p>
            <w:pPr>
              <w:jc w:val="center"/>
            </w:pPr>
            <w:r>
              <w:rPr>
                <w:rFonts w:eastAsia="Times New Roman"/>
                <w:color w:val="000000"/>
                <w:sz w:val="24"/>
              </w:rPr>
              <w:t>97,010,000.00</w:t>
            </w:r>
          </w:p>
        </w:tc>
        <w:tc>
          <w:tcPr>
            <w:tcW w:w="2835" w:type="dxa"/>
            <w:tcMar>
              <w:top w:w="15" w:type="dxa"/>
              <w:left w:w="15" w:type="dxa"/>
              <w:bottom w:w="0" w:type="dxa"/>
              <w:right w:w="15" w:type="dxa"/>
            </w:tcMar>
          </w:tcPr>
          <w:p>
            <w:pPr>
              <w:jc w:val="center"/>
            </w:pPr>
            <w:r>
              <w:rPr>
                <w:rFonts w:eastAsia="Times New Roman"/>
                <w:color w:val="000000"/>
                <w:sz w:val="24"/>
              </w:rPr>
              <w:t>5.52%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7</w:t>
            </w:r>
          </w:p>
        </w:tc>
        <w:tc>
          <w:tcPr>
            <w:tcW w:w="2268" w:type="dxa"/>
            <w:tcMar>
              <w:top w:w="15" w:type="dxa"/>
              <w:left w:w="15" w:type="dxa"/>
              <w:bottom w:w="0" w:type="dxa"/>
              <w:right w:w="15" w:type="dxa"/>
            </w:tcMar>
          </w:tcPr>
          <w:p>
            <w:pPr>
              <w:jc w:val="center"/>
            </w:pPr>
            <w:r>
              <w:rPr>
                <w:rFonts w:eastAsia="Times New Roman"/>
                <w:color w:val="000000"/>
                <w:sz w:val="24"/>
              </w:rPr>
              <w:t>14豫铁投MTN001</w:t>
            </w:r>
          </w:p>
        </w:tc>
        <w:tc>
          <w:tcPr>
            <w:tcW w:w="2835" w:type="dxa"/>
          </w:tcPr>
          <w:p>
            <w:pPr>
              <w:jc w:val="center"/>
            </w:pPr>
            <w:r>
              <w:rPr>
                <w:rFonts w:eastAsia="Times New Roman"/>
                <w:color w:val="000000"/>
                <w:sz w:val="24"/>
              </w:rPr>
              <w:t>91,350,000.00</w:t>
            </w:r>
          </w:p>
        </w:tc>
        <w:tc>
          <w:tcPr>
            <w:tcW w:w="2835" w:type="dxa"/>
            <w:tcMar>
              <w:top w:w="15" w:type="dxa"/>
              <w:left w:w="15" w:type="dxa"/>
              <w:bottom w:w="0" w:type="dxa"/>
              <w:right w:w="15" w:type="dxa"/>
            </w:tcMar>
          </w:tcPr>
          <w:p>
            <w:pPr>
              <w:jc w:val="center"/>
            </w:pPr>
            <w:r>
              <w:rPr>
                <w:rFonts w:eastAsia="Times New Roman"/>
                <w:color w:val="000000"/>
                <w:sz w:val="24"/>
              </w:rPr>
              <w:t>5.20%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8</w:t>
            </w:r>
          </w:p>
        </w:tc>
        <w:tc>
          <w:tcPr>
            <w:tcW w:w="2268" w:type="dxa"/>
            <w:tcMar>
              <w:top w:w="15" w:type="dxa"/>
              <w:left w:w="15" w:type="dxa"/>
              <w:bottom w:w="0" w:type="dxa"/>
              <w:right w:w="15" w:type="dxa"/>
            </w:tcMar>
          </w:tcPr>
          <w:p>
            <w:pPr>
              <w:jc w:val="center"/>
            </w:pPr>
            <w:r>
              <w:rPr>
                <w:rFonts w:eastAsia="Times New Roman"/>
                <w:color w:val="000000"/>
                <w:sz w:val="24"/>
              </w:rPr>
              <w:t>19粤垦投资MTN001</w:t>
            </w:r>
          </w:p>
        </w:tc>
        <w:tc>
          <w:tcPr>
            <w:tcW w:w="2835" w:type="dxa"/>
          </w:tcPr>
          <w:p>
            <w:pPr>
              <w:jc w:val="center"/>
            </w:pPr>
            <w:r>
              <w:rPr>
                <w:rFonts w:eastAsia="Times New Roman"/>
                <w:color w:val="000000"/>
                <w:sz w:val="24"/>
              </w:rPr>
              <w:t>71,085,000.00</w:t>
            </w:r>
          </w:p>
        </w:tc>
        <w:tc>
          <w:tcPr>
            <w:tcW w:w="2835" w:type="dxa"/>
            <w:tcMar>
              <w:top w:w="15" w:type="dxa"/>
              <w:left w:w="15" w:type="dxa"/>
              <w:bottom w:w="0" w:type="dxa"/>
              <w:right w:w="15" w:type="dxa"/>
            </w:tcMar>
          </w:tcPr>
          <w:p>
            <w:pPr>
              <w:jc w:val="center"/>
            </w:pPr>
            <w:r>
              <w:rPr>
                <w:rFonts w:eastAsia="Times New Roman"/>
                <w:color w:val="000000"/>
                <w:sz w:val="24"/>
              </w:rPr>
              <w:t>4.05%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9</w:t>
            </w:r>
          </w:p>
        </w:tc>
        <w:tc>
          <w:tcPr>
            <w:tcW w:w="2268" w:type="dxa"/>
            <w:tcMar>
              <w:top w:w="15" w:type="dxa"/>
              <w:left w:w="15" w:type="dxa"/>
              <w:bottom w:w="0" w:type="dxa"/>
              <w:right w:w="15" w:type="dxa"/>
            </w:tcMar>
          </w:tcPr>
          <w:p>
            <w:pPr>
              <w:jc w:val="center"/>
            </w:pPr>
            <w:r>
              <w:rPr>
                <w:rFonts w:eastAsia="Times New Roman"/>
                <w:color w:val="000000"/>
                <w:sz w:val="24"/>
              </w:rPr>
              <w:t>21邯郸交建CP002</w:t>
            </w:r>
          </w:p>
        </w:tc>
        <w:tc>
          <w:tcPr>
            <w:tcW w:w="2835" w:type="dxa"/>
          </w:tcPr>
          <w:p>
            <w:pPr>
              <w:jc w:val="center"/>
            </w:pPr>
            <w:r>
              <w:rPr>
                <w:rFonts w:eastAsia="Times New Roman"/>
                <w:color w:val="000000"/>
                <w:sz w:val="24"/>
              </w:rPr>
              <w:t>70,238,000.00</w:t>
            </w:r>
          </w:p>
        </w:tc>
        <w:tc>
          <w:tcPr>
            <w:tcW w:w="2835" w:type="dxa"/>
            <w:tcMar>
              <w:top w:w="15" w:type="dxa"/>
              <w:left w:w="15" w:type="dxa"/>
              <w:bottom w:w="0" w:type="dxa"/>
              <w:right w:w="15" w:type="dxa"/>
            </w:tcMar>
          </w:tcPr>
          <w:p>
            <w:pPr>
              <w:jc w:val="center"/>
            </w:pPr>
            <w:r>
              <w:rPr>
                <w:rFonts w:eastAsia="Times New Roman"/>
                <w:color w:val="000000"/>
                <w:sz w:val="24"/>
              </w:rPr>
              <w:t>4.00%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bookmarkStart w:id="0" w:name="_GoBack" w:colFirst="1" w:colLast="3"/>
            <w:r>
              <w:rPr>
                <w:rFonts w:eastAsia="Times New Roman"/>
                <w:color w:val="000000"/>
                <w:sz w:val="24"/>
              </w:rPr>
              <w:t>10</w:t>
            </w:r>
          </w:p>
        </w:tc>
        <w:tc>
          <w:tcPr>
            <w:tcW w:w="2268" w:type="dxa"/>
            <w:tcMar>
              <w:top w:w="15" w:type="dxa"/>
              <w:left w:w="15" w:type="dxa"/>
              <w:bottom w:w="0" w:type="dxa"/>
              <w:right w:w="15" w:type="dxa"/>
            </w:tcMar>
            <w:vAlign w:val="top"/>
          </w:tcPr>
          <w:p>
            <w:pPr>
              <w:jc w:val="center"/>
              <w:textAlignment w:val="auto"/>
              <w:rPr>
                <w:highlight w:val="yellow"/>
              </w:rPr>
            </w:pPr>
            <w:r>
              <w:rPr>
                <w:rFonts w:ascii="Times New Roman" w:hAnsi="Times New Roman" w:eastAsia="Times New Roman" w:cs="Times New Roman"/>
                <w:b w:val="0"/>
                <w:i w:val="0"/>
                <w:color w:val="000000"/>
                <w:sz w:val="24"/>
                <w:u w:val="none"/>
              </w:rPr>
              <w:t>21国开01</w:t>
            </w:r>
          </w:p>
        </w:tc>
        <w:tc>
          <w:tcPr>
            <w:tcW w:w="2835" w:type="dxa"/>
            <w:vAlign w:val="top"/>
          </w:tcPr>
          <w:p>
            <w:pPr>
              <w:jc w:val="center"/>
              <w:textAlignment w:val="auto"/>
              <w:rPr>
                <w:highlight w:val="yellow"/>
              </w:rPr>
            </w:pPr>
            <w:r>
              <w:rPr>
                <w:rFonts w:ascii="Times New Roman" w:hAnsi="Times New Roman" w:eastAsia="Times New Roman" w:cs="Times New Roman"/>
                <w:b w:val="0"/>
                <w:i w:val="0"/>
                <w:color w:val="000000"/>
                <w:sz w:val="24"/>
                <w:u w:val="none"/>
              </w:rPr>
              <w:t>59,884,563.65</w:t>
            </w:r>
          </w:p>
        </w:tc>
        <w:tc>
          <w:tcPr>
            <w:tcW w:w="2835" w:type="dxa"/>
            <w:tcMar>
              <w:top w:w="15" w:type="dxa"/>
              <w:left w:w="15" w:type="dxa"/>
              <w:bottom w:w="0" w:type="dxa"/>
              <w:right w:w="15" w:type="dxa"/>
            </w:tcMar>
            <w:vAlign w:val="top"/>
          </w:tcPr>
          <w:p>
            <w:pPr>
              <w:jc w:val="center"/>
              <w:textAlignment w:val="auto"/>
              <w:rPr>
                <w:highlight w:val="yellow"/>
              </w:rPr>
            </w:pPr>
            <w:r>
              <w:rPr>
                <w:rFonts w:ascii="Times New Roman" w:hAnsi="Times New Roman" w:eastAsia="Times New Roman" w:cs="Times New Roman"/>
                <w:b w:val="0"/>
                <w:i w:val="0"/>
                <w:color w:val="000000"/>
                <w:sz w:val="24"/>
                <w:u w:val="none"/>
              </w:rPr>
              <w:t>3.41%</w:t>
            </w:r>
          </w:p>
        </w:tc>
      </w:tr>
      <w:bookmarkEnd w:id="0"/>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8"/>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9"/>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7"/>
          <w:rFonts w:hint="eastAsia" w:ascii="仿宋_GB2312" w:eastAsia="仿宋_GB2312"/>
          <w:sz w:val="24"/>
          <w:szCs w:val="24"/>
        </w:rPr>
        <w:t>http://www.spdb.com.cn/</w:t>
      </w:r>
      <w:r>
        <w:rPr>
          <w:rStyle w:val="7"/>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Pr>
        <w:footnoteRef/>
      </w:r>
      <w:r>
        <w:rPr>
          <w:rFonts w:hint="eastAsia"/>
          <w:sz w:val="15"/>
          <w:szCs w:val="15"/>
        </w:rPr>
        <w:t>产品登记编码指本产品在全国银行理财信息登记系统获取的登记编码。</w:t>
      </w:r>
    </w:p>
  </w:footnote>
  <w:footnote w:id="1">
    <w:p>
      <w:pPr>
        <w:pStyle w:val="4"/>
        <w:rPr>
          <w:sz w:val="15"/>
          <w:szCs w:val="15"/>
        </w:rPr>
      </w:pPr>
      <w:r>
        <w:rPr>
          <w:rStyle w:val="8"/>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3731"/>
    <w:rsid w:val="00103449"/>
    <w:rsid w:val="00130728"/>
    <w:rsid w:val="001814DB"/>
    <w:rsid w:val="00210A82"/>
    <w:rsid w:val="00211495"/>
    <w:rsid w:val="00213ECF"/>
    <w:rsid w:val="00274D37"/>
    <w:rsid w:val="002B330E"/>
    <w:rsid w:val="00366AC8"/>
    <w:rsid w:val="00367DBF"/>
    <w:rsid w:val="00380BE2"/>
    <w:rsid w:val="003B6DED"/>
    <w:rsid w:val="003F480F"/>
    <w:rsid w:val="00400A77"/>
    <w:rsid w:val="0041011E"/>
    <w:rsid w:val="0041666B"/>
    <w:rsid w:val="0042245C"/>
    <w:rsid w:val="00442040"/>
    <w:rsid w:val="0048092C"/>
    <w:rsid w:val="004E272F"/>
    <w:rsid w:val="004F1E95"/>
    <w:rsid w:val="00504EC0"/>
    <w:rsid w:val="00564E1C"/>
    <w:rsid w:val="0058623B"/>
    <w:rsid w:val="00590102"/>
    <w:rsid w:val="005B0E63"/>
    <w:rsid w:val="006304A5"/>
    <w:rsid w:val="006E00B8"/>
    <w:rsid w:val="007167B6"/>
    <w:rsid w:val="00781652"/>
    <w:rsid w:val="007D042E"/>
    <w:rsid w:val="007E2254"/>
    <w:rsid w:val="008351F2"/>
    <w:rsid w:val="008579C9"/>
    <w:rsid w:val="008D4921"/>
    <w:rsid w:val="009027FB"/>
    <w:rsid w:val="0093653B"/>
    <w:rsid w:val="00973891"/>
    <w:rsid w:val="009B6B6E"/>
    <w:rsid w:val="009F0B98"/>
    <w:rsid w:val="00A7331C"/>
    <w:rsid w:val="00A768E1"/>
    <w:rsid w:val="00B2798E"/>
    <w:rsid w:val="00B9403A"/>
    <w:rsid w:val="00BB17CD"/>
    <w:rsid w:val="00C2222B"/>
    <w:rsid w:val="00C542D2"/>
    <w:rsid w:val="00CA6A9F"/>
    <w:rsid w:val="00D170C5"/>
    <w:rsid w:val="00D37F3B"/>
    <w:rsid w:val="00D601E1"/>
    <w:rsid w:val="00D8266B"/>
    <w:rsid w:val="00DC25F6"/>
    <w:rsid w:val="00DD0D5E"/>
    <w:rsid w:val="00DE1F30"/>
    <w:rsid w:val="00DE496A"/>
    <w:rsid w:val="00E61C1A"/>
    <w:rsid w:val="00E63347"/>
    <w:rsid w:val="00E771D0"/>
    <w:rsid w:val="00F864D2"/>
    <w:rsid w:val="00FB1262"/>
    <w:rsid w:val="00FB4D10"/>
    <w:rsid w:val="00FC64B6"/>
    <w:rsid w:val="010F183C"/>
    <w:rsid w:val="14B40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3"/>
    <w:semiHidden/>
    <w:qFormat/>
    <w:uiPriority w:val="99"/>
    <w:pPr>
      <w:snapToGrid w:val="0"/>
      <w:jc w:val="left"/>
    </w:pPr>
    <w:rPr>
      <w:rFonts w:eastAsia="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Hyperlink"/>
    <w:basedOn w:val="6"/>
    <w:semiHidden/>
    <w:unhideWhenUsed/>
    <w:qFormat/>
    <w:uiPriority w:val="99"/>
    <w:rPr>
      <w:color w:val="0000FF"/>
      <w:u w:val="single"/>
    </w:rPr>
  </w:style>
  <w:style w:type="character" w:styleId="8">
    <w:name w:val="footnote reference"/>
    <w:semiHidden/>
    <w:qFormat/>
    <w:uiPriority w:val="99"/>
    <w:rPr>
      <w:vertAlign w:val="superscript"/>
    </w:rPr>
  </w:style>
  <w:style w:type="table" w:styleId="10">
    <w:name w:val="Table Grid"/>
    <w:basedOn w:val="9"/>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3"/>
    <w:uiPriority w:val="99"/>
    <w:rPr>
      <w:sz w:val="18"/>
      <w:szCs w:val="18"/>
    </w:rPr>
  </w:style>
  <w:style w:type="character" w:customStyle="1" w:styleId="12">
    <w:name w:val="页脚 Char"/>
    <w:basedOn w:val="6"/>
    <w:link w:val="2"/>
    <w:uiPriority w:val="99"/>
    <w:rPr>
      <w:sz w:val="18"/>
      <w:szCs w:val="18"/>
    </w:rPr>
  </w:style>
  <w:style w:type="character" w:customStyle="1" w:styleId="13">
    <w:name w:val="脚注文本 Char"/>
    <w:basedOn w:val="6"/>
    <w:link w:val="4"/>
    <w:semiHidden/>
    <w:qFormat/>
    <w:uiPriority w:val="99"/>
    <w:rPr>
      <w:rFonts w:ascii="Times New Roman" w:hAnsi="Times New Roman" w:eastAsia="宋体" w:cs="Times New Roman"/>
      <w:sz w:val="18"/>
      <w:szCs w:val="18"/>
    </w:rPr>
  </w:style>
  <w:style w:type="paragraph" w:customStyle="1" w:styleId="14">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366</Words>
  <Characters>2090</Characters>
  <Lines>17</Lines>
  <Paragraphs>4</Paragraphs>
  <TotalTime>1</TotalTime>
  <ScaleCrop>false</ScaleCrop>
  <LinksUpToDate>false</LinksUpToDate>
  <CharactersWithSpaces>2452</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2021-04-12T07:59:00Z</dcterms:created>
  <dc:creator>DEVVDI02</dc:creator>
  <cp:lastModifiedBy>user</cp:lastModifiedBy>
  <dcterms:modified xsi:type="dcterms:W3CDTF">2021-04-13T01:11:20Z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