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6"/>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6"/>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浦发银行鑫盈利系列365天之同业专属理财计划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2301192510</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10"/>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C1031019B000002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2019-04-26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773,637,925.24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2301192510 : 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中等风险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7"/>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报告期（2021-01-01至2021-03-31）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2301192510 : 839,358,956.86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2301192510 : 1.0850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2301192510 : 1.0850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6"/>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10,158,903.26</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828,056,400.00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98.65%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14,360,685.52</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852,575,988.78</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101.57%</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adjustRightInd w:val="0"/>
        <w:snapToGrid w:val="0"/>
        <w:spacing w:line="360" w:lineRule="auto"/>
        <w:ind w:firstLine="480" w:firstLineChars="200"/>
        <w:jc w:val="left"/>
        <w:rPr>
          <w:rFonts w:ascii="仿宋_GB2312" w:hAnsi="Calibri" w:eastAsia="仿宋_GB2312" w:cs="宋体"/>
          <w:color w:val="000000"/>
          <w:sz w:val="24"/>
          <w:szCs w:val="24"/>
        </w:rPr>
      </w:pPr>
      <w:r>
        <w:rPr>
          <w:rFonts w:hint="eastAsia" w:ascii="仿宋_GB2312" w:hAnsi="Calibri" w:eastAsia="仿宋_GB2312" w:cs="宋体"/>
          <w:color w:val="000000"/>
          <w:sz w:val="24"/>
          <w:szCs w:val="24"/>
        </w:rPr>
        <w:t>投资策略以配置中短久期的高等级信用债为主,适当杠杆增厚收益，相机配置长久期利率债挖掘超额收益。</w:t>
      </w:r>
    </w:p>
    <w:p>
      <w:pPr>
        <w:rPr>
          <w:rFonts w:ascii="仿宋_GB2312" w:hAnsi="Calibri" w:eastAsia="仿宋_GB2312"/>
          <w:sz w:val="24"/>
          <w:szCs w:val="24"/>
        </w:rPr>
      </w:pPr>
      <w:bookmarkStart w:id="0" w:name="_GoBack"/>
      <w:bookmarkEnd w:id="0"/>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6"/>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18江北产投MTN003</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80,984,000.00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9.65%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20富阳城投PPN001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80,632,000.00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9.61%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19新建元PPN001</w:t>
            </w:r>
          </w:p>
        </w:tc>
        <w:tc>
          <w:tcPr>
            <w:tcW w:w="2835" w:type="dxa"/>
          </w:tcPr>
          <w:p>
            <w:pPr>
              <w:jc w:val="center"/>
              <w:textAlignment w:val="auto"/>
            </w:pPr>
            <w:r>
              <w:rPr>
                <w:rFonts w:ascii="Times New Roman" w:hAnsi="Times New Roman" w:eastAsia="Times New Roman" w:cs="Times New Roman"/>
                <w:b w:val="0"/>
                <w:i w:val="0"/>
                <w:color w:val="000000"/>
                <w:sz w:val="24"/>
                <w:u w:val="none"/>
              </w:rPr>
              <w:t>80,528,000.00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9.59%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20晋煤CP007</w:t>
            </w:r>
          </w:p>
        </w:tc>
        <w:tc>
          <w:tcPr>
            <w:tcW w:w="2835" w:type="dxa"/>
          </w:tcPr>
          <w:p>
            <w:pPr>
              <w:jc w:val="center"/>
              <w:textAlignment w:val="auto"/>
            </w:pPr>
            <w:r>
              <w:rPr>
                <w:rFonts w:ascii="Times New Roman" w:hAnsi="Times New Roman" w:eastAsia="Times New Roman" w:cs="Times New Roman"/>
                <w:b w:val="0"/>
                <w:i w:val="0"/>
                <w:color w:val="000000"/>
                <w:sz w:val="24"/>
                <w:u w:val="none"/>
              </w:rPr>
              <w:t>79,768,000.00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9.50%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19陕煤债01</w:t>
            </w:r>
          </w:p>
        </w:tc>
        <w:tc>
          <w:tcPr>
            <w:tcW w:w="2835" w:type="dxa"/>
          </w:tcPr>
          <w:p>
            <w:pPr>
              <w:jc w:val="center"/>
              <w:textAlignment w:val="auto"/>
            </w:pPr>
            <w:r>
              <w:rPr>
                <w:rFonts w:ascii="Times New Roman" w:hAnsi="Times New Roman" w:eastAsia="Times New Roman" w:cs="Times New Roman"/>
                <w:b w:val="0"/>
                <w:i w:val="0"/>
                <w:color w:val="000000"/>
                <w:sz w:val="24"/>
                <w:u w:val="none"/>
              </w:rPr>
              <w:t>79,672,000.00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9.49%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18中交房产MTN002</w:t>
            </w:r>
          </w:p>
        </w:tc>
        <w:tc>
          <w:tcPr>
            <w:tcW w:w="2835" w:type="dxa"/>
          </w:tcPr>
          <w:p>
            <w:pPr>
              <w:jc w:val="center"/>
              <w:textAlignment w:val="auto"/>
            </w:pPr>
            <w:r>
              <w:rPr>
                <w:rFonts w:ascii="Times New Roman" w:hAnsi="Times New Roman" w:eastAsia="Times New Roman" w:cs="Times New Roman"/>
                <w:b w:val="0"/>
                <w:i w:val="0"/>
                <w:color w:val="000000"/>
                <w:sz w:val="24"/>
                <w:u w:val="none"/>
              </w:rPr>
              <w:t>70,784,000.00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8.43%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20青岛城乡PPN001</w:t>
            </w:r>
          </w:p>
        </w:tc>
        <w:tc>
          <w:tcPr>
            <w:tcW w:w="2835" w:type="dxa"/>
          </w:tcPr>
          <w:p>
            <w:pPr>
              <w:jc w:val="center"/>
              <w:textAlignment w:val="auto"/>
            </w:pPr>
            <w:r>
              <w:rPr>
                <w:rFonts w:ascii="Times New Roman" w:hAnsi="Times New Roman" w:eastAsia="Times New Roman" w:cs="Times New Roman"/>
                <w:b w:val="0"/>
                <w:i w:val="0"/>
                <w:color w:val="000000"/>
                <w:sz w:val="24"/>
                <w:u w:val="none"/>
              </w:rPr>
              <w:t>53,740,500.00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6.40%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18郑州公宅PPN001</w:t>
            </w:r>
          </w:p>
        </w:tc>
        <w:tc>
          <w:tcPr>
            <w:tcW w:w="2835" w:type="dxa"/>
          </w:tcPr>
          <w:p>
            <w:pPr>
              <w:jc w:val="center"/>
              <w:textAlignment w:val="auto"/>
            </w:pPr>
            <w:r>
              <w:rPr>
                <w:rFonts w:ascii="Times New Roman" w:hAnsi="Times New Roman" w:eastAsia="Times New Roman" w:cs="Times New Roman"/>
                <w:b w:val="0"/>
                <w:i w:val="0"/>
                <w:color w:val="000000"/>
                <w:sz w:val="24"/>
                <w:u w:val="none"/>
              </w:rPr>
              <w:t>50,580,000.00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6.03%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20农发03</w:t>
            </w:r>
          </w:p>
        </w:tc>
        <w:tc>
          <w:tcPr>
            <w:tcW w:w="2835" w:type="dxa"/>
          </w:tcPr>
          <w:p>
            <w:pPr>
              <w:jc w:val="center"/>
              <w:textAlignment w:val="auto"/>
            </w:pPr>
            <w:r>
              <w:rPr>
                <w:rFonts w:ascii="Times New Roman" w:hAnsi="Times New Roman" w:eastAsia="Times New Roman" w:cs="Times New Roman"/>
                <w:b w:val="0"/>
                <w:i w:val="0"/>
                <w:color w:val="000000"/>
                <w:sz w:val="24"/>
                <w:u w:val="none"/>
              </w:rPr>
              <w:t>49,965,000.00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17华发集团MTN002</w:t>
            </w:r>
          </w:p>
        </w:tc>
        <w:tc>
          <w:tcPr>
            <w:tcW w:w="2835" w:type="dxa"/>
          </w:tcPr>
          <w:p>
            <w:pPr>
              <w:jc w:val="center"/>
              <w:textAlignment w:val="auto"/>
            </w:pPr>
            <w:r>
              <w:rPr>
                <w:rFonts w:ascii="Times New Roman" w:hAnsi="Times New Roman" w:eastAsia="Times New Roman" w:cs="Times New Roman"/>
                <w:b w:val="0"/>
                <w:i w:val="0"/>
                <w:color w:val="000000"/>
                <w:sz w:val="24"/>
                <w:u w:val="none"/>
              </w:rPr>
              <w:t>41,436,000.00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4.94%</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10"/>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6"/>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9"/>
          <w:rFonts w:hint="eastAsia" w:ascii="仿宋_GB2312" w:eastAsia="仿宋_GB2312"/>
          <w:sz w:val="24"/>
          <w:szCs w:val="24"/>
        </w:rPr>
        <w:t>http://www.spdb.com.cn/</w:t>
      </w:r>
      <w:r>
        <w:rPr>
          <w:rStyle w:val="9"/>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0"/>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10"/>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6524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styleId="10">
    <w:name w:val="footnote reference"/>
    <w:semiHidden/>
    <w:qFormat/>
    <w:uiPriority w:val="99"/>
    <w:rPr>
      <w:vertAlign w:val="superscript"/>
    </w:rPr>
  </w:style>
  <w:style w:type="character" w:customStyle="1" w:styleId="11">
    <w:name w:val="页眉 Char"/>
    <w:basedOn w:val="8"/>
    <w:link w:val="3"/>
    <w:qFormat/>
    <w:uiPriority w:val="99"/>
    <w:rPr>
      <w:sz w:val="18"/>
      <w:szCs w:val="18"/>
    </w:rPr>
  </w:style>
  <w:style w:type="character" w:customStyle="1" w:styleId="12">
    <w:name w:val="页脚 Char"/>
    <w:basedOn w:val="8"/>
    <w:link w:val="2"/>
    <w:qFormat/>
    <w:uiPriority w:val="99"/>
    <w:rPr>
      <w:sz w:val="18"/>
      <w:szCs w:val="18"/>
    </w:rPr>
  </w:style>
  <w:style w:type="character" w:customStyle="1" w:styleId="13">
    <w:name w:val="脚注文本 Char"/>
    <w:basedOn w:val="8"/>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0</TotalTime>
  <ScaleCrop>false</ScaleCrop>
  <LinksUpToDate>false</LinksUpToDate>
  <CharactersWithSpaces>2670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Admin</cp:lastModifiedBy>
  <dcterms:modified xsi:type="dcterms:W3CDTF">2021-04-01T10:06:14Z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