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2021-04-15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2022-05-26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4,990,000,000.00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2021-04-15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陕西西咸新区沣西发展集团有限公司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浦银安盛资管-浦发银行西安分行1号专项资产管理计划第6期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上海浦银安盛资产管理有限公司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0.85%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