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bookmarkStart w:id="0" w:name="_GoBack"/>
      <w:bookmarkEnd w:id="0"/>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13"/>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13"/>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浦发银行鑫盈利系列365天之同业专属理财计划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2301192510</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12"/>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C1031019B000002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2019-04-26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2,379,586,261.87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2301192510 : 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4"/>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8"/>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报告期（2020-07-01至2020-09-30）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2301192510 : 2,525,312,663.20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2301192510 : 1.0612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2301192510 : 1.0612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13"/>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8"/>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13"/>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6,102,228.43</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2</w:t>
            </w:r>
          </w:p>
        </w:tc>
        <w:tc>
          <w:tcPr>
            <w:tcW w:w="2620" w:type="dxa"/>
            <w:vAlign w:val="center"/>
          </w:tcPr>
          <w:p>
            <w:pPr>
              <w:jc w:val="center"/>
            </w:pPr>
            <w:r>
              <w:rPr>
                <w:rFonts w:eastAsia="Times New Roman"/>
                <w:color w:val="000000"/>
                <w:sz w:val="24"/>
              </w:rPr>
              <w:t>债券投资</w:t>
            </w:r>
          </w:p>
        </w:tc>
        <w:tc>
          <w:tcPr>
            <w:tcW w:w="2694" w:type="dxa"/>
            <w:vAlign w:val="center"/>
          </w:tcPr>
          <w:p>
            <w:pPr>
              <w:jc w:val="center"/>
            </w:pPr>
            <w:r>
              <w:rPr>
                <w:rFonts w:eastAsia="Times New Roman"/>
                <w:color w:val="000000"/>
                <w:sz w:val="24"/>
              </w:rPr>
              <w:t>2,425,898,000.00</w:t>
            </w:r>
          </w:p>
        </w:tc>
        <w:tc>
          <w:tcPr>
            <w:tcW w:w="2477" w:type="dxa"/>
            <w:vAlign w:val="center"/>
          </w:tcPr>
          <w:p>
            <w:pPr>
              <w:jc w:val="center"/>
            </w:pPr>
            <w:r>
              <w:rPr>
                <w:rFonts w:eastAsia="Times New Roman"/>
                <w:color w:val="000000"/>
                <w:sz w:val="24"/>
              </w:rPr>
              <w:t>96.06%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3</w:t>
            </w:r>
          </w:p>
        </w:tc>
        <w:tc>
          <w:tcPr>
            <w:tcW w:w="2620" w:type="dxa"/>
            <w:vAlign w:val="center"/>
          </w:tcPr>
          <w:p>
            <w:pPr>
              <w:jc w:val="center"/>
            </w:pPr>
            <w:r>
              <w:rPr>
                <w:rFonts w:eastAsia="Times New Roman"/>
                <w:color w:val="000000"/>
                <w:sz w:val="24"/>
              </w:rPr>
              <w:t>资产支持证券投资</w:t>
            </w:r>
          </w:p>
        </w:tc>
        <w:tc>
          <w:tcPr>
            <w:tcW w:w="2694" w:type="dxa"/>
            <w:vAlign w:val="center"/>
          </w:tcPr>
          <w:p>
            <w:pPr>
              <w:jc w:val="center"/>
            </w:pPr>
            <w:r>
              <w:rPr>
                <w:rFonts w:eastAsia="Times New Roman"/>
                <w:color w:val="000000"/>
                <w:sz w:val="24"/>
              </w:rPr>
              <w:t>75,202,500.00</w:t>
            </w:r>
          </w:p>
        </w:tc>
        <w:tc>
          <w:tcPr>
            <w:tcW w:w="2477" w:type="dxa"/>
            <w:vAlign w:val="center"/>
          </w:tcPr>
          <w:p>
            <w:pPr>
              <w:jc w:val="center"/>
            </w:pPr>
            <w:r>
              <w:rPr>
                <w:rFonts w:eastAsia="Times New Roman"/>
                <w:color w:val="000000"/>
                <w:sz w:val="24"/>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4</w:t>
            </w:r>
          </w:p>
        </w:tc>
        <w:tc>
          <w:tcPr>
            <w:tcW w:w="2620" w:type="dxa"/>
            <w:vAlign w:val="center"/>
          </w:tcPr>
          <w:p>
            <w:pPr>
              <w:jc w:val="center"/>
            </w:pPr>
            <w:r>
              <w:rPr>
                <w:rFonts w:eastAsia="Times New Roman"/>
                <w:color w:val="000000"/>
                <w:sz w:val="24"/>
              </w:rPr>
              <w:t>信托计划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5</w:t>
            </w:r>
          </w:p>
        </w:tc>
        <w:tc>
          <w:tcPr>
            <w:tcW w:w="2620" w:type="dxa"/>
            <w:vAlign w:val="center"/>
          </w:tcPr>
          <w:p>
            <w:pPr>
              <w:jc w:val="center"/>
            </w:pPr>
            <w:r>
              <w:rPr>
                <w:rFonts w:eastAsia="Times New Roman"/>
                <w:color w:val="000000"/>
                <w:sz w:val="24"/>
              </w:rPr>
              <w:t>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6</w:t>
            </w:r>
          </w:p>
        </w:tc>
        <w:tc>
          <w:tcPr>
            <w:tcW w:w="2620" w:type="dxa"/>
            <w:vAlign w:val="center"/>
          </w:tcPr>
          <w:p>
            <w:pPr>
              <w:jc w:val="center"/>
            </w:pPr>
            <w:r>
              <w:rPr>
                <w:rFonts w:eastAsia="Times New Roman"/>
                <w:color w:val="000000"/>
                <w:sz w:val="24"/>
              </w:rPr>
              <w:t>净值类资产管理计划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7</w:t>
            </w:r>
          </w:p>
        </w:tc>
        <w:tc>
          <w:tcPr>
            <w:tcW w:w="2620" w:type="dxa"/>
            <w:vAlign w:val="center"/>
          </w:tcPr>
          <w:p>
            <w:pPr>
              <w:jc w:val="center"/>
            </w:pPr>
            <w:r>
              <w:rPr>
                <w:rFonts w:eastAsia="Times New Roman"/>
                <w:color w:val="000000"/>
                <w:sz w:val="24"/>
              </w:rPr>
              <w:t>资金拆出</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8</w:t>
            </w:r>
          </w:p>
        </w:tc>
        <w:tc>
          <w:tcPr>
            <w:tcW w:w="2620" w:type="dxa"/>
            <w:vAlign w:val="center"/>
          </w:tcPr>
          <w:p>
            <w:pPr>
              <w:jc w:val="center"/>
            </w:pPr>
            <w:r>
              <w:rPr>
                <w:rFonts w:eastAsia="Times New Roman"/>
                <w:color w:val="000000"/>
                <w:sz w:val="24"/>
              </w:rPr>
              <w:t>结算备付金</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9</w:t>
            </w:r>
          </w:p>
        </w:tc>
        <w:tc>
          <w:tcPr>
            <w:tcW w:w="2620" w:type="dxa"/>
            <w:vAlign w:val="center"/>
          </w:tcPr>
          <w:p>
            <w:pPr>
              <w:jc w:val="center"/>
            </w:pPr>
            <w:r>
              <w:rPr>
                <w:rFonts w:eastAsia="Times New Roman"/>
                <w:color w:val="000000"/>
                <w:sz w:val="24"/>
              </w:rPr>
              <w:t>买入返售金融资产</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10</w:t>
            </w:r>
          </w:p>
        </w:tc>
        <w:tc>
          <w:tcPr>
            <w:tcW w:w="2620" w:type="dxa"/>
            <w:vAlign w:val="center"/>
          </w:tcPr>
          <w:p>
            <w:pPr>
              <w:jc w:val="center"/>
            </w:pPr>
            <w:r>
              <w:rPr>
                <w:rFonts w:eastAsia="Times New Roman"/>
                <w:color w:val="000000"/>
                <w:sz w:val="24"/>
              </w:rPr>
              <w:t>其他资产</w:t>
            </w:r>
          </w:p>
        </w:tc>
        <w:tc>
          <w:tcPr>
            <w:tcW w:w="2694" w:type="dxa"/>
            <w:vAlign w:val="center"/>
          </w:tcPr>
          <w:p>
            <w:pPr>
              <w:jc w:val="center"/>
            </w:pPr>
            <w:r>
              <w:rPr>
                <w:rFonts w:eastAsia="Times New Roman"/>
                <w:color w:val="000000"/>
                <w:sz w:val="24"/>
              </w:rPr>
              <w:t>0.00</w:t>
            </w:r>
          </w:p>
        </w:tc>
        <w:tc>
          <w:tcPr>
            <w:tcW w:w="2477" w:type="dxa"/>
            <w:vAlign w:val="center"/>
          </w:tcPr>
          <w:p>
            <w:pPr>
              <w:jc w:val="center"/>
            </w:pPr>
            <w:r>
              <w:rPr>
                <w:rFonts w:eastAsia="Times New Roman"/>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11</w:t>
            </w:r>
          </w:p>
        </w:tc>
        <w:tc>
          <w:tcPr>
            <w:tcW w:w="2620" w:type="dxa"/>
            <w:vAlign w:val="center"/>
          </w:tcPr>
          <w:p>
            <w:pPr>
              <w:jc w:val="center"/>
            </w:pPr>
            <w:r>
              <w:rPr>
                <w:rFonts w:eastAsia="Times New Roman"/>
                <w:color w:val="000000"/>
                <w:sz w:val="24"/>
              </w:rPr>
              <w:t>应收利息</w:t>
            </w:r>
          </w:p>
        </w:tc>
        <w:tc>
          <w:tcPr>
            <w:tcW w:w="2694" w:type="dxa"/>
            <w:vAlign w:val="center"/>
          </w:tcPr>
          <w:p>
            <w:pPr>
              <w:jc w:val="center"/>
            </w:pPr>
            <w:r>
              <w:rPr>
                <w:rFonts w:eastAsia="Times New Roman"/>
                <w:color w:val="000000"/>
                <w:sz w:val="24"/>
              </w:rPr>
              <w:t>85,478,654.62</w:t>
            </w:r>
          </w:p>
        </w:tc>
        <w:tc>
          <w:tcPr>
            <w:tcW w:w="2477" w:type="dxa"/>
            <w:vAlign w:val="center"/>
          </w:tcPr>
          <w:p>
            <w:pPr>
              <w:jc w:val="center"/>
            </w:pPr>
            <w:r>
              <w:rPr>
                <w:rFonts w:eastAsia="Times New Roman"/>
                <w:color w:val="000000"/>
                <w:sz w:val="24"/>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eastAsia="Times New Roman"/>
                <w:color w:val="000000"/>
                <w:sz w:val="24"/>
              </w:rPr>
              <w:t>合计</w:t>
            </w:r>
          </w:p>
        </w:tc>
        <w:tc>
          <w:tcPr>
            <w:tcW w:w="2694" w:type="dxa"/>
            <w:vAlign w:val="center"/>
          </w:tcPr>
          <w:p>
            <w:pPr>
              <w:jc w:val="center"/>
            </w:pPr>
            <w:r>
              <w:rPr>
                <w:rFonts w:eastAsia="Times New Roman"/>
                <w:color w:val="000000"/>
                <w:sz w:val="24"/>
              </w:rPr>
              <w:t>2,592,681,383.05</w:t>
            </w:r>
          </w:p>
        </w:tc>
        <w:tc>
          <w:tcPr>
            <w:tcW w:w="2477" w:type="dxa"/>
            <w:vAlign w:val="center"/>
          </w:tcPr>
          <w:p>
            <w:pPr>
              <w:jc w:val="center"/>
            </w:pPr>
            <w:r>
              <w:rPr>
                <w:rFonts w:eastAsia="Times New Roman"/>
                <w:color w:val="000000"/>
                <w:sz w:val="24"/>
              </w:rPr>
              <w:t>102.67%</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ind w:firstLine="480" w:firstLineChars="200"/>
        <w:rPr>
          <w:rFonts w:ascii="仿宋_GB2312" w:eastAsia="仿宋_GB2312" w:hAnsiTheme="minorEastAsia"/>
          <w:bCs/>
          <w:sz w:val="24"/>
          <w:szCs w:val="24"/>
        </w:rPr>
      </w:pPr>
      <w:r>
        <w:rPr>
          <w:rFonts w:hint="eastAsia" w:ascii="仿宋_GB2312" w:eastAsia="仿宋_GB2312" w:hAnsiTheme="minorEastAsia"/>
          <w:bCs/>
          <w:sz w:val="24"/>
          <w:szCs w:val="24"/>
        </w:rPr>
        <w:t>投资策略以配置中短久期的高等级信用债为主,适当杠杆配置同业存单增厚收益，相机配置长久期利率债挖掘超额收益。</w:t>
      </w:r>
    </w:p>
    <w:p>
      <w:pPr>
        <w:ind w:firstLine="480" w:firstLineChars="200"/>
        <w:rPr>
          <w:rFonts w:ascii="仿宋_GB2312" w:hAnsi="Calibri" w:eastAsia="仿宋_GB2312"/>
          <w:sz w:val="24"/>
          <w:szCs w:val="24"/>
        </w:rPr>
      </w:pP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13"/>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8"/>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17华融置业PPN001</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230,506,000.00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9.13%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2</w:t>
            </w:r>
          </w:p>
        </w:tc>
        <w:tc>
          <w:tcPr>
            <w:tcW w:w="2268" w:type="dxa"/>
            <w:tcMar>
              <w:top w:w="15" w:type="dxa"/>
              <w:left w:w="15" w:type="dxa"/>
              <w:bottom w:w="0" w:type="dxa"/>
              <w:right w:w="15" w:type="dxa"/>
            </w:tcMar>
          </w:tcPr>
          <w:p>
            <w:pPr>
              <w:jc w:val="center"/>
            </w:pPr>
            <w:r>
              <w:rPr>
                <w:rFonts w:eastAsia="Times New Roman"/>
                <w:color w:val="000000"/>
                <w:sz w:val="24"/>
              </w:rPr>
              <w:t>17云投MTN004</w:t>
            </w:r>
          </w:p>
        </w:tc>
        <w:tc>
          <w:tcPr>
            <w:tcW w:w="2835" w:type="dxa"/>
          </w:tcPr>
          <w:p>
            <w:pPr>
              <w:jc w:val="center"/>
            </w:pPr>
            <w:r>
              <w:rPr>
                <w:rFonts w:eastAsia="Times New Roman"/>
                <w:color w:val="000000"/>
                <w:sz w:val="24"/>
              </w:rPr>
              <w:t>190,969,000.00</w:t>
            </w:r>
          </w:p>
        </w:tc>
        <w:tc>
          <w:tcPr>
            <w:tcW w:w="2835" w:type="dxa"/>
            <w:tcMar>
              <w:top w:w="15" w:type="dxa"/>
              <w:left w:w="15" w:type="dxa"/>
              <w:bottom w:w="0" w:type="dxa"/>
              <w:right w:w="15" w:type="dxa"/>
            </w:tcMar>
          </w:tcPr>
          <w:p>
            <w:pPr>
              <w:jc w:val="center"/>
            </w:pPr>
            <w:r>
              <w:rPr>
                <w:rFonts w:eastAsia="Times New Roman"/>
                <w:color w:val="000000"/>
                <w:sz w:val="24"/>
              </w:rPr>
              <w:t>7.56%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3</w:t>
            </w:r>
          </w:p>
        </w:tc>
        <w:tc>
          <w:tcPr>
            <w:tcW w:w="2268" w:type="dxa"/>
            <w:tcMar>
              <w:top w:w="15" w:type="dxa"/>
              <w:left w:w="15" w:type="dxa"/>
              <w:bottom w:w="0" w:type="dxa"/>
              <w:right w:w="15" w:type="dxa"/>
            </w:tcMar>
          </w:tcPr>
          <w:p>
            <w:pPr>
              <w:jc w:val="center"/>
            </w:pPr>
            <w:r>
              <w:rPr>
                <w:rFonts w:eastAsia="Times New Roman"/>
                <w:color w:val="000000"/>
                <w:sz w:val="24"/>
              </w:rPr>
              <w:t>18长沙高新PPN003</w:t>
            </w:r>
          </w:p>
        </w:tc>
        <w:tc>
          <w:tcPr>
            <w:tcW w:w="2835" w:type="dxa"/>
          </w:tcPr>
          <w:p>
            <w:pPr>
              <w:jc w:val="center"/>
            </w:pPr>
            <w:r>
              <w:rPr>
                <w:rFonts w:eastAsia="Times New Roman"/>
                <w:color w:val="000000"/>
                <w:sz w:val="24"/>
              </w:rPr>
              <w:t>169,702,500.00</w:t>
            </w:r>
          </w:p>
        </w:tc>
        <w:tc>
          <w:tcPr>
            <w:tcW w:w="2835" w:type="dxa"/>
            <w:tcMar>
              <w:top w:w="15" w:type="dxa"/>
              <w:left w:w="15" w:type="dxa"/>
              <w:bottom w:w="0" w:type="dxa"/>
              <w:right w:w="15" w:type="dxa"/>
            </w:tcMar>
          </w:tcPr>
          <w:p>
            <w:pPr>
              <w:jc w:val="center"/>
            </w:pPr>
            <w:r>
              <w:rPr>
                <w:rFonts w:eastAsia="Times New Roman"/>
                <w:color w:val="000000"/>
                <w:sz w:val="24"/>
              </w:rPr>
              <w:t>6.72%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4</w:t>
            </w:r>
          </w:p>
        </w:tc>
        <w:tc>
          <w:tcPr>
            <w:tcW w:w="2268" w:type="dxa"/>
            <w:tcMar>
              <w:top w:w="15" w:type="dxa"/>
              <w:left w:w="15" w:type="dxa"/>
              <w:bottom w:w="0" w:type="dxa"/>
              <w:right w:w="15" w:type="dxa"/>
            </w:tcMar>
          </w:tcPr>
          <w:p>
            <w:pPr>
              <w:jc w:val="center"/>
            </w:pPr>
            <w:r>
              <w:rPr>
                <w:rFonts w:eastAsia="Times New Roman"/>
                <w:color w:val="000000"/>
                <w:sz w:val="24"/>
              </w:rPr>
              <w:t>20富阳城投PPN001</w:t>
            </w:r>
          </w:p>
        </w:tc>
        <w:tc>
          <w:tcPr>
            <w:tcW w:w="2835" w:type="dxa"/>
          </w:tcPr>
          <w:p>
            <w:pPr>
              <w:jc w:val="center"/>
            </w:pPr>
            <w:r>
              <w:rPr>
                <w:rFonts w:eastAsia="Times New Roman"/>
                <w:color w:val="000000"/>
                <w:sz w:val="24"/>
              </w:rPr>
              <w:t>158,400,000.00</w:t>
            </w:r>
          </w:p>
        </w:tc>
        <w:tc>
          <w:tcPr>
            <w:tcW w:w="2835" w:type="dxa"/>
            <w:tcMar>
              <w:top w:w="15" w:type="dxa"/>
              <w:left w:w="15" w:type="dxa"/>
              <w:bottom w:w="0" w:type="dxa"/>
              <w:right w:w="15" w:type="dxa"/>
            </w:tcMar>
          </w:tcPr>
          <w:p>
            <w:pPr>
              <w:jc w:val="center"/>
            </w:pPr>
            <w:r>
              <w:rPr>
                <w:rFonts w:eastAsia="Times New Roman"/>
                <w:color w:val="000000"/>
                <w:sz w:val="24"/>
              </w:rPr>
              <w:t>6.27%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5</w:t>
            </w:r>
          </w:p>
        </w:tc>
        <w:tc>
          <w:tcPr>
            <w:tcW w:w="2268" w:type="dxa"/>
            <w:tcMar>
              <w:top w:w="15" w:type="dxa"/>
              <w:left w:w="15" w:type="dxa"/>
              <w:bottom w:w="0" w:type="dxa"/>
              <w:right w:w="15" w:type="dxa"/>
            </w:tcMar>
          </w:tcPr>
          <w:p>
            <w:pPr>
              <w:jc w:val="center"/>
            </w:pPr>
            <w:r>
              <w:rPr>
                <w:rFonts w:eastAsia="Times New Roman"/>
                <w:color w:val="000000"/>
                <w:sz w:val="24"/>
              </w:rPr>
              <w:t>19武汉车都PPN002</w:t>
            </w:r>
          </w:p>
        </w:tc>
        <w:tc>
          <w:tcPr>
            <w:tcW w:w="2835" w:type="dxa"/>
          </w:tcPr>
          <w:p>
            <w:pPr>
              <w:jc w:val="center"/>
            </w:pPr>
            <w:r>
              <w:rPr>
                <w:rFonts w:eastAsia="Times New Roman"/>
                <w:color w:val="000000"/>
                <w:sz w:val="24"/>
              </w:rPr>
              <w:t>140,756,000.00</w:t>
            </w:r>
          </w:p>
        </w:tc>
        <w:tc>
          <w:tcPr>
            <w:tcW w:w="2835" w:type="dxa"/>
            <w:tcMar>
              <w:top w:w="15" w:type="dxa"/>
              <w:left w:w="15" w:type="dxa"/>
              <w:bottom w:w="0" w:type="dxa"/>
              <w:right w:w="15" w:type="dxa"/>
            </w:tcMar>
          </w:tcPr>
          <w:p>
            <w:pPr>
              <w:jc w:val="center"/>
            </w:pPr>
            <w:r>
              <w:rPr>
                <w:rFonts w:eastAsia="Times New Roman"/>
                <w:color w:val="000000"/>
                <w:sz w:val="24"/>
              </w:rPr>
              <w:t>5.57%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6</w:t>
            </w:r>
          </w:p>
        </w:tc>
        <w:tc>
          <w:tcPr>
            <w:tcW w:w="2268" w:type="dxa"/>
            <w:tcMar>
              <w:top w:w="15" w:type="dxa"/>
              <w:left w:w="15" w:type="dxa"/>
              <w:bottom w:w="0" w:type="dxa"/>
              <w:right w:w="15" w:type="dxa"/>
            </w:tcMar>
          </w:tcPr>
          <w:p>
            <w:pPr>
              <w:jc w:val="center"/>
            </w:pPr>
            <w:r>
              <w:rPr>
                <w:rFonts w:eastAsia="Times New Roman"/>
                <w:color w:val="000000"/>
                <w:sz w:val="24"/>
              </w:rPr>
              <w:t>18中交房产MTN002</w:t>
            </w:r>
          </w:p>
        </w:tc>
        <w:tc>
          <w:tcPr>
            <w:tcW w:w="2835" w:type="dxa"/>
          </w:tcPr>
          <w:p>
            <w:pPr>
              <w:jc w:val="center"/>
            </w:pPr>
            <w:r>
              <w:rPr>
                <w:rFonts w:eastAsia="Times New Roman"/>
                <w:color w:val="000000"/>
                <w:sz w:val="24"/>
              </w:rPr>
              <w:t>136,863,000.00</w:t>
            </w:r>
          </w:p>
        </w:tc>
        <w:tc>
          <w:tcPr>
            <w:tcW w:w="2835" w:type="dxa"/>
            <w:tcMar>
              <w:top w:w="15" w:type="dxa"/>
              <w:left w:w="15" w:type="dxa"/>
              <w:bottom w:w="0" w:type="dxa"/>
              <w:right w:w="15" w:type="dxa"/>
            </w:tcMar>
          </w:tcPr>
          <w:p>
            <w:pPr>
              <w:jc w:val="center"/>
            </w:pPr>
            <w:r>
              <w:rPr>
                <w:rFonts w:eastAsia="Times New Roman"/>
                <w:color w:val="000000"/>
                <w:sz w:val="24"/>
              </w:rPr>
              <w:t>5.42%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7</w:t>
            </w:r>
          </w:p>
        </w:tc>
        <w:tc>
          <w:tcPr>
            <w:tcW w:w="2268" w:type="dxa"/>
            <w:tcMar>
              <w:top w:w="15" w:type="dxa"/>
              <w:left w:w="15" w:type="dxa"/>
              <w:bottom w:w="0" w:type="dxa"/>
              <w:right w:w="15" w:type="dxa"/>
            </w:tcMar>
          </w:tcPr>
          <w:p>
            <w:pPr>
              <w:jc w:val="center"/>
            </w:pPr>
            <w:r>
              <w:rPr>
                <w:rFonts w:eastAsia="Times New Roman"/>
                <w:color w:val="000000"/>
                <w:sz w:val="24"/>
              </w:rPr>
              <w:t>17云能投PPN001</w:t>
            </w:r>
          </w:p>
        </w:tc>
        <w:tc>
          <w:tcPr>
            <w:tcW w:w="2835" w:type="dxa"/>
          </w:tcPr>
          <w:p>
            <w:pPr>
              <w:jc w:val="center"/>
            </w:pPr>
            <w:r>
              <w:rPr>
                <w:rFonts w:eastAsia="Times New Roman"/>
                <w:color w:val="000000"/>
                <w:sz w:val="24"/>
              </w:rPr>
              <w:t>122,412,000.00</w:t>
            </w:r>
          </w:p>
        </w:tc>
        <w:tc>
          <w:tcPr>
            <w:tcW w:w="2835" w:type="dxa"/>
            <w:tcMar>
              <w:top w:w="15" w:type="dxa"/>
              <w:left w:w="15" w:type="dxa"/>
              <w:bottom w:w="0" w:type="dxa"/>
              <w:right w:w="15" w:type="dxa"/>
            </w:tcMar>
          </w:tcPr>
          <w:p>
            <w:pPr>
              <w:jc w:val="center"/>
            </w:pPr>
            <w:r>
              <w:rPr>
                <w:rFonts w:eastAsia="Times New Roman"/>
                <w:color w:val="000000"/>
                <w:sz w:val="24"/>
              </w:rPr>
              <w:t>4.85%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8</w:t>
            </w:r>
          </w:p>
        </w:tc>
        <w:tc>
          <w:tcPr>
            <w:tcW w:w="2268" w:type="dxa"/>
            <w:tcMar>
              <w:top w:w="15" w:type="dxa"/>
              <w:left w:w="15" w:type="dxa"/>
              <w:bottom w:w="0" w:type="dxa"/>
              <w:right w:w="15" w:type="dxa"/>
            </w:tcMar>
          </w:tcPr>
          <w:p>
            <w:pPr>
              <w:jc w:val="center"/>
            </w:pPr>
            <w:r>
              <w:rPr>
                <w:rFonts w:eastAsia="Times New Roman"/>
                <w:color w:val="000000"/>
                <w:sz w:val="24"/>
              </w:rPr>
              <w:t>20青岛城乡PPN001</w:t>
            </w:r>
          </w:p>
        </w:tc>
        <w:tc>
          <w:tcPr>
            <w:tcW w:w="2835" w:type="dxa"/>
          </w:tcPr>
          <w:p>
            <w:pPr>
              <w:jc w:val="center"/>
            </w:pPr>
            <w:r>
              <w:rPr>
                <w:rFonts w:eastAsia="Times New Roman"/>
                <w:color w:val="000000"/>
                <w:sz w:val="24"/>
              </w:rPr>
              <w:t>116,892,000.00</w:t>
            </w:r>
          </w:p>
        </w:tc>
        <w:tc>
          <w:tcPr>
            <w:tcW w:w="2835" w:type="dxa"/>
            <w:tcMar>
              <w:top w:w="15" w:type="dxa"/>
              <w:left w:w="15" w:type="dxa"/>
              <w:bottom w:w="0" w:type="dxa"/>
              <w:right w:w="15" w:type="dxa"/>
            </w:tcMar>
          </w:tcPr>
          <w:p>
            <w:pPr>
              <w:jc w:val="center"/>
            </w:pPr>
            <w:r>
              <w:rPr>
                <w:rFonts w:eastAsia="Times New Roman"/>
                <w:color w:val="000000"/>
                <w:sz w:val="24"/>
              </w:rPr>
              <w:t>4.63%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9</w:t>
            </w:r>
          </w:p>
        </w:tc>
        <w:tc>
          <w:tcPr>
            <w:tcW w:w="2268" w:type="dxa"/>
            <w:tcMar>
              <w:top w:w="15" w:type="dxa"/>
              <w:left w:w="15" w:type="dxa"/>
              <w:bottom w:w="0" w:type="dxa"/>
              <w:right w:w="15" w:type="dxa"/>
            </w:tcMar>
          </w:tcPr>
          <w:p>
            <w:pPr>
              <w:jc w:val="center"/>
            </w:pPr>
            <w:r>
              <w:rPr>
                <w:rFonts w:eastAsia="Times New Roman"/>
                <w:color w:val="000000"/>
                <w:sz w:val="24"/>
              </w:rPr>
              <w:t>19武汉车都PPN001</w:t>
            </w:r>
          </w:p>
        </w:tc>
        <w:tc>
          <w:tcPr>
            <w:tcW w:w="2835" w:type="dxa"/>
          </w:tcPr>
          <w:p>
            <w:pPr>
              <w:jc w:val="center"/>
            </w:pPr>
            <w:r>
              <w:rPr>
                <w:rFonts w:eastAsia="Times New Roman"/>
                <w:color w:val="000000"/>
                <w:sz w:val="24"/>
              </w:rPr>
              <w:t>111,419,000.00</w:t>
            </w:r>
          </w:p>
        </w:tc>
        <w:tc>
          <w:tcPr>
            <w:tcW w:w="2835" w:type="dxa"/>
            <w:tcMar>
              <w:top w:w="15" w:type="dxa"/>
              <w:left w:w="15" w:type="dxa"/>
              <w:bottom w:w="0" w:type="dxa"/>
              <w:right w:w="15" w:type="dxa"/>
            </w:tcMar>
          </w:tcPr>
          <w:p>
            <w:pPr>
              <w:jc w:val="center"/>
            </w:pPr>
            <w:r>
              <w:rPr>
                <w:rFonts w:eastAsia="Times New Roman"/>
                <w:color w:val="000000"/>
                <w:sz w:val="24"/>
              </w:rPr>
              <w:t>4.41%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10</w:t>
            </w:r>
          </w:p>
        </w:tc>
        <w:tc>
          <w:tcPr>
            <w:tcW w:w="2268" w:type="dxa"/>
            <w:tcMar>
              <w:top w:w="15" w:type="dxa"/>
              <w:left w:w="15" w:type="dxa"/>
              <w:bottom w:w="0" w:type="dxa"/>
              <w:right w:w="15" w:type="dxa"/>
            </w:tcMar>
          </w:tcPr>
          <w:p>
            <w:pPr>
              <w:jc w:val="center"/>
            </w:pPr>
            <w:r>
              <w:rPr>
                <w:rFonts w:eastAsia="Times New Roman"/>
                <w:color w:val="000000"/>
                <w:sz w:val="24"/>
              </w:rPr>
              <w:t>20江北建设PPN001</w:t>
            </w:r>
          </w:p>
        </w:tc>
        <w:tc>
          <w:tcPr>
            <w:tcW w:w="2835" w:type="dxa"/>
          </w:tcPr>
          <w:p>
            <w:pPr>
              <w:jc w:val="center"/>
            </w:pPr>
            <w:r>
              <w:rPr>
                <w:rFonts w:eastAsia="Times New Roman"/>
                <w:color w:val="000000"/>
                <w:sz w:val="24"/>
              </w:rPr>
              <w:t>107,778,000.00</w:t>
            </w:r>
          </w:p>
        </w:tc>
        <w:tc>
          <w:tcPr>
            <w:tcW w:w="2835" w:type="dxa"/>
            <w:tcMar>
              <w:top w:w="15" w:type="dxa"/>
              <w:left w:w="15" w:type="dxa"/>
              <w:bottom w:w="0" w:type="dxa"/>
              <w:right w:w="15" w:type="dxa"/>
            </w:tcMar>
          </w:tcPr>
          <w:p>
            <w:pPr>
              <w:jc w:val="center"/>
            </w:pPr>
            <w:r>
              <w:rPr>
                <w:rFonts w:eastAsia="Times New Roman"/>
                <w:color w:val="000000"/>
                <w:sz w:val="24"/>
              </w:rPr>
              <w:t>4.27%</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12"/>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13"/>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1</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2</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10"/>
          <w:rFonts w:hint="eastAsia" w:ascii="仿宋_GB2312" w:eastAsia="仿宋_GB2312"/>
          <w:sz w:val="24"/>
          <w:szCs w:val="24"/>
        </w:rPr>
        <w:t>http://www.spdb.com.cn/</w:t>
      </w:r>
      <w:r>
        <w:rPr>
          <w:rStyle w:val="10"/>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2"/>
        </w:rPr>
        <w:footnoteRef/>
      </w:r>
      <w:r>
        <w:rPr>
          <w:rFonts w:hint="eastAsia"/>
          <w:sz w:val="15"/>
          <w:szCs w:val="15"/>
        </w:rPr>
        <w:t>产品登记编码指本产品在全国银行理财信息登记系统获取的登记编码。</w:t>
      </w:r>
    </w:p>
  </w:footnote>
  <w:footnote w:id="1">
    <w:p>
      <w:pPr>
        <w:pStyle w:val="7"/>
        <w:rPr>
          <w:sz w:val="15"/>
          <w:szCs w:val="15"/>
        </w:rPr>
      </w:pPr>
      <w:r>
        <w:rPr>
          <w:rStyle w:val="12"/>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192C02"/>
    <w:rsid w:val="001A3FBF"/>
    <w:rsid w:val="00211495"/>
    <w:rsid w:val="00213ECF"/>
    <w:rsid w:val="00274D37"/>
    <w:rsid w:val="002D7410"/>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6F090A"/>
    <w:rsid w:val="007167B6"/>
    <w:rsid w:val="00781652"/>
    <w:rsid w:val="007D042E"/>
    <w:rsid w:val="007E2254"/>
    <w:rsid w:val="008031F1"/>
    <w:rsid w:val="008D4921"/>
    <w:rsid w:val="009027FB"/>
    <w:rsid w:val="0093653B"/>
    <w:rsid w:val="00963EA5"/>
    <w:rsid w:val="00973891"/>
    <w:rsid w:val="009921E3"/>
    <w:rsid w:val="009B6B6E"/>
    <w:rsid w:val="009F0B98"/>
    <w:rsid w:val="00A7331C"/>
    <w:rsid w:val="00A768E1"/>
    <w:rsid w:val="00B2798E"/>
    <w:rsid w:val="00B9403A"/>
    <w:rsid w:val="00BB17CD"/>
    <w:rsid w:val="00C2222B"/>
    <w:rsid w:val="00CA6A9F"/>
    <w:rsid w:val="00D06A20"/>
    <w:rsid w:val="00D170C5"/>
    <w:rsid w:val="00D37F3B"/>
    <w:rsid w:val="00D601E1"/>
    <w:rsid w:val="00DC25F6"/>
    <w:rsid w:val="00DE1F30"/>
    <w:rsid w:val="00DE496A"/>
    <w:rsid w:val="00E61C1A"/>
    <w:rsid w:val="00E63347"/>
    <w:rsid w:val="00F864D2"/>
    <w:rsid w:val="00FB1262"/>
    <w:rsid w:val="00FB4D10"/>
    <w:rsid w:val="00FC64B6"/>
    <w:rsid w:val="1FEE19BA"/>
    <w:rsid w:val="4EA95B7B"/>
    <w:rsid w:val="63472CF8"/>
    <w:rsid w:val="6716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uiPriority w:val="99"/>
    <w:rPr>
      <w:b/>
      <w:bCs/>
    </w:rPr>
  </w:style>
  <w:style w:type="paragraph" w:styleId="3">
    <w:name w:val="annotation text"/>
    <w:basedOn w:val="1"/>
    <w:link w:val="19"/>
    <w:semiHidden/>
    <w:unhideWhenUsed/>
    <w:uiPriority w:val="99"/>
    <w:pPr>
      <w:jc w:val="left"/>
    </w:pPr>
  </w:style>
  <w:style w:type="paragraph" w:styleId="4">
    <w:name w:val="Balloon Text"/>
    <w:basedOn w:val="1"/>
    <w:link w:val="21"/>
    <w:semiHidden/>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17"/>
    <w:semiHidden/>
    <w:qFormat/>
    <w:uiPriority w:val="99"/>
    <w:pPr>
      <w:snapToGrid w:val="0"/>
      <w:jc w:val="left"/>
    </w:pPr>
    <w:rPr>
      <w:rFonts w:eastAsia="宋体"/>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uiPriority w:val="99"/>
    <w:rPr>
      <w:sz w:val="21"/>
      <w:szCs w:val="21"/>
    </w:rPr>
  </w:style>
  <w:style w:type="character" w:styleId="12">
    <w:name w:val="footnote reference"/>
    <w:semiHidden/>
    <w:qFormat/>
    <w:uiPriority w:val="99"/>
    <w:rPr>
      <w:vertAlign w:val="superscript"/>
    </w:rPr>
  </w:style>
  <w:style w:type="table" w:styleId="14">
    <w:name w:val="Table Grid"/>
    <w:basedOn w:val="13"/>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9"/>
    <w:link w:val="6"/>
    <w:qFormat/>
    <w:uiPriority w:val="99"/>
    <w:rPr>
      <w:sz w:val="18"/>
      <w:szCs w:val="18"/>
    </w:rPr>
  </w:style>
  <w:style w:type="character" w:customStyle="1" w:styleId="16">
    <w:name w:val="页脚 字符"/>
    <w:basedOn w:val="9"/>
    <w:link w:val="5"/>
    <w:uiPriority w:val="99"/>
    <w:rPr>
      <w:sz w:val="18"/>
      <w:szCs w:val="18"/>
    </w:rPr>
  </w:style>
  <w:style w:type="character" w:customStyle="1" w:styleId="17">
    <w:name w:val="脚注文本 字符"/>
    <w:basedOn w:val="9"/>
    <w:link w:val="7"/>
    <w:semiHidden/>
    <w:qFormat/>
    <w:uiPriority w:val="99"/>
    <w:rPr>
      <w:rFonts w:ascii="Times New Roman" w:hAnsi="Times New Roman" w:eastAsia="宋体" w:cs="Times New Roman"/>
      <w:sz w:val="18"/>
      <w:szCs w:val="18"/>
    </w:rPr>
  </w:style>
  <w:style w:type="paragraph" w:customStyle="1" w:styleId="18">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character" w:customStyle="1" w:styleId="19">
    <w:name w:val="批注文字 字符"/>
    <w:basedOn w:val="9"/>
    <w:link w:val="3"/>
    <w:semiHidden/>
    <w:uiPriority w:val="99"/>
    <w:rPr>
      <w:rFonts w:ascii="Times New Roman" w:hAnsi="Times New Roman" w:eastAsia="方正仿宋简体" w:cs="Times New Roman"/>
      <w:kern w:val="2"/>
      <w:sz w:val="32"/>
    </w:rPr>
  </w:style>
  <w:style w:type="character" w:customStyle="1" w:styleId="20">
    <w:name w:val="批注主题 字符"/>
    <w:basedOn w:val="19"/>
    <w:link w:val="2"/>
    <w:semiHidden/>
    <w:uiPriority w:val="99"/>
    <w:rPr>
      <w:rFonts w:ascii="Times New Roman" w:hAnsi="Times New Roman" w:eastAsia="方正仿宋简体" w:cs="Times New Roman"/>
      <w:b/>
      <w:bCs/>
      <w:kern w:val="2"/>
      <w:sz w:val="32"/>
    </w:rPr>
  </w:style>
  <w:style w:type="character" w:customStyle="1" w:styleId="21">
    <w:name w:val="批注框文本 字符"/>
    <w:basedOn w:val="9"/>
    <w:link w:val="4"/>
    <w:semiHidden/>
    <w:uiPriority w:val="99"/>
    <w:rPr>
      <w:rFonts w:ascii="Times New Roman" w:hAnsi="Times New Roman" w:eastAsia="方正仿宋简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353</Words>
  <Characters>2016</Characters>
  <Lines>16</Lines>
  <Paragraphs>4</Paragraphs>
  <TotalTime>0</TotalTime>
  <ScaleCrop>false</ScaleCrop>
  <LinksUpToDate>false</LinksUpToDate>
  <CharactersWithSpaces>2365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2020-10-13T08:57:00Z</dcterms:created>
  <dc:creator>DEVVDI02</dc:creator>
  <cp:lastModifiedBy>liq67</cp:lastModifiedBy>
  <dcterms:modified xsi:type="dcterms:W3CDTF">2020-10-22T06:24:06Z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